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</w:t>
      </w:r>
      <w:r w:rsidR="00D2285F">
        <w:rPr>
          <w:rFonts w:ascii="Times New Roman" w:hAnsi="Times New Roman" w:cs="Times New Roman"/>
          <w:lang w:val="kk-KZ"/>
        </w:rPr>
        <w:t>5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752B2A">
        <w:rPr>
          <w:rFonts w:ascii="Times New Roman" w:hAnsi="Times New Roman" w:cs="Times New Roman"/>
          <w:lang w:val="kk-KZ"/>
        </w:rPr>
        <w:t>2</w:t>
      </w:r>
      <w:r w:rsidR="00D2285F">
        <w:rPr>
          <w:rFonts w:ascii="Times New Roman" w:hAnsi="Times New Roman" w:cs="Times New Roman"/>
          <w:lang w:val="kk-KZ"/>
        </w:rPr>
        <w:t>7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977DD9">
        <w:rPr>
          <w:rFonts w:ascii="Times New Roman" w:hAnsi="Times New Roman" w:cs="Times New Roman"/>
        </w:rPr>
        <w:t>марта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752B2A">
        <w:rPr>
          <w:rFonts w:ascii="Times New Roman" w:hAnsi="Times New Roman" w:cs="Times New Roman"/>
        </w:rPr>
        <w:t>2</w:t>
      </w:r>
      <w:r w:rsidR="00D2285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</w:t>
      </w:r>
      <w:r w:rsidR="00977D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.2023 г. в 10 ч. 05 мин. </w:t>
      </w:r>
    </w:p>
    <w:p w:rsidR="00F054B2" w:rsidRPr="008B1226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D2285F" w:rsidRPr="00D2285F" w:rsidTr="004A3FC4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819" w:type="dxa"/>
            <w:shd w:val="clear" w:color="auto" w:fill="auto"/>
            <w:hideMark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Лекарственная форма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Ед.</w:t>
            </w:r>
          </w:p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D2285F" w:rsidRPr="00D2285F" w:rsidTr="004A3F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2285F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Раствор для инфузий, 500 мл, № 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53 498</w:t>
            </w:r>
          </w:p>
        </w:tc>
      </w:tr>
      <w:tr w:rsidR="00D2285F" w:rsidRPr="00D2285F" w:rsidTr="004A3F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2285F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</w:rPr>
              <w:t>Игла для цитологической биопсии COMPLETE CHIBA (CCH) с размерами 18G 15 см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</w:rPr>
            </w:pPr>
            <w:r w:rsidRPr="00D2285F">
              <w:rPr>
                <w:rFonts w:ascii="Times New Roman" w:hAnsi="Times New Roman"/>
              </w:rPr>
              <w:t>Игла типа Чиба для проведения цитологической биопсии мягких тканей, размеры 18G 15 см.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Канюля имеет заточку типа Квинке.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Срез мандрена полностью совпадает со срезом канюли.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Игла имеет соединение Луер-Лок для возможности присоединения шприцов с соединением Луер/Луер Лок.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Угол заточки канюли варьируется от 14 до 20 градусов в зависимо</w:t>
            </w:r>
            <w:r w:rsidRPr="00D2285F">
              <w:rPr>
                <w:rFonts w:ascii="Times New Roman" w:hAnsi="Times New Roman"/>
                <w:lang w:val="ru-RU"/>
              </w:rPr>
              <w:t>с</w:t>
            </w:r>
            <w:r w:rsidRPr="00D2285F">
              <w:rPr>
                <w:rFonts w:ascii="Times New Roman" w:hAnsi="Times New Roman"/>
              </w:rPr>
              <w:t>ти от диаметра иглы в прямой пропорции (чем больше диаметр иглы тем больше угол заточки) для сохранения постоянной длины среза канюли вне зависимости от диаметра иглы. Обработка канюли и мандрена произведена с помощью электроочистки и ультразвука.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Стенка канюли ультратонкая, что позволяет выполнить большую аспирацию жидкости. Пластиковый прозрачный держатель иглы оснащен двойной увеличительной линзой.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Проксимальный конец пластикового прозрачного держателя имеет цветную часть, соответствующую международной цветовой кодировке шкалы гейдж.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На канюле нанесена легко читаемая сантиметровая маркировка, позволяющая контролировать точное размещение иглы внутри ткани.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Дистальный конец мандрена оснащен специальным эхогенным напылением для его лучшей визуализации на УЗИ-мониторе при проведении процедуры аспирации образца.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 xml:space="preserve">Игла оснащена специальным цилиндрическим пластиковым стоппером, который позволяет выставлять глубину введения иглы в ткань. 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 xml:space="preserve">Игла упакована в мягкий пластиковый прозрачный блистер с нанесенными указаниями по эксплуатации и </w:t>
            </w:r>
            <w:r w:rsidRPr="00D2285F">
              <w:rPr>
                <w:rFonts w:ascii="Times New Roman" w:hAnsi="Times New Roman"/>
              </w:rPr>
              <w:lastRenderedPageBreak/>
              <w:t xml:space="preserve">хранению. Также нанесена маркировка с указанием размеров, каталожного номера, стерильности, даты изготовления, сроков годности и номера партии. </w:t>
            </w:r>
          </w:p>
          <w:p w:rsidR="00D2285F" w:rsidRPr="00D2285F" w:rsidRDefault="00D2285F" w:rsidP="00D2285F">
            <w:pPr>
              <w:pStyle w:val="a4"/>
              <w:rPr>
                <w:rFonts w:ascii="Times New Roman" w:hAnsi="Times New Roman"/>
              </w:rPr>
            </w:pPr>
            <w:r w:rsidRPr="00D2285F">
              <w:rPr>
                <w:rFonts w:ascii="Times New Roman" w:hAnsi="Times New Roman"/>
              </w:rPr>
              <w:t>Игла стерилизована этиленоксидом и предназначена для однократного применения.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9 950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597 000</w:t>
            </w:r>
          </w:p>
        </w:tc>
      </w:tr>
      <w:tr w:rsidR="00D2285F" w:rsidRPr="00D2285F" w:rsidTr="004A3F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2285F">
              <w:rPr>
                <w:rFonts w:ascii="Times New Roman" w:hAnsi="Times New Roman"/>
                <w:lang w:val="en-US" w:eastAsia="ru-RU"/>
              </w:rPr>
              <w:lastRenderedPageBreak/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</w:rPr>
              <w:t>Игла для цитологической биопсии COMPLETE CHIBA (CCH) с размерами 22G 15 см.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</w:rPr>
            </w:pPr>
            <w:r w:rsidRPr="00D2285F">
              <w:rPr>
                <w:rFonts w:ascii="Times New Roman" w:hAnsi="Times New Roman"/>
              </w:rPr>
              <w:t>Игла типа Чиба для проведения цитологической биопсии мягких тканей, размеры 22</w:t>
            </w:r>
            <w:r w:rsidRPr="00D2285F">
              <w:rPr>
                <w:rFonts w:ascii="Times New Roman" w:hAnsi="Times New Roman"/>
                <w:lang w:val="en-US"/>
              </w:rPr>
              <w:t>G</w:t>
            </w:r>
            <w:r w:rsidRPr="00D2285F">
              <w:rPr>
                <w:rFonts w:ascii="Times New Roman" w:hAnsi="Times New Roman"/>
              </w:rPr>
              <w:t xml:space="preserve"> 15 см.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Канюля имеет заточку типа Квинке.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Срез мандрена полностью совпадает со срезом канюли.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Игла имеет соединение Луер-Лок для возможности присоединения шприцов с соединением Луер/Луер Лок.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Угол заточки канюли варьируется от 14 до 20 градусов в зависимо</w:t>
            </w:r>
            <w:r w:rsidRPr="00D2285F">
              <w:rPr>
                <w:rFonts w:ascii="Times New Roman" w:hAnsi="Times New Roman"/>
                <w:lang w:val="ru-RU"/>
              </w:rPr>
              <w:t>с</w:t>
            </w:r>
            <w:r w:rsidRPr="00D2285F">
              <w:rPr>
                <w:rFonts w:ascii="Times New Roman" w:hAnsi="Times New Roman"/>
              </w:rPr>
              <w:t>ти от диаметра иглы в прямой пропорции (чем больше диаметр иглы тем больше угол заточки) для сохранения постоянной длины среза канюли вне зависимости от диаметра иглы. Обработка канюли и мандрена произведена с помощью электроочистки и ультразвука.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 xml:space="preserve">Стенка канюли ультратонкая, что позволяет выполнить большую аспирацию жидкости. 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Пластиковый прозрачный держатель иглы оснащен двойной увеличительной линзой.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Проксимальный конец пластикового прозрачного держателя имеет цветную часть, соответствующую международной цветовой кодировке шкалы гейдж.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На канюле нанесена легко читаемая сантиметровая маркировка, позволяющая контролировать точное размещение иглы внутри ткани.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 xml:space="preserve">Дистальный конец мандрена оснащен специальным эхогенным напылением для его лучшей визуализации на УЗИ-мониторе при проведении процедуры аспирации образца. Игла оснащена специальным цилиндрическим пластиковым стоппером, который позволяет выставлять глубину введения иглы в ткань. Игла упакована в мягкий пластиковый прозрачный блистер с нанесенными указаниями по эксплуатации и хранению. Также нанесена маркировка с указанием размеров, каталожного номера, стерильности, даты изготовления, сроков годности и номера партии. </w:t>
            </w:r>
          </w:p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</w:rPr>
              <w:t>Игла стерилизована этиленоксидом и предназначена для однократного применения.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9 950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597</w:t>
            </w:r>
            <w:r w:rsidRPr="00D2285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D2285F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D2285F" w:rsidRPr="00D2285F" w:rsidTr="004A3F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2285F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Буферные таблетки Гурр,  50*100мл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Буферные таблетки Гурр,  50*100мл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55 566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222 264</w:t>
            </w:r>
          </w:p>
        </w:tc>
      </w:tr>
      <w:tr w:rsidR="00D2285F" w:rsidRPr="00D2285F" w:rsidTr="004A3F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D2285F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2285F">
              <w:rPr>
                <w:rFonts w:ascii="Times New Roman" w:hAnsi="Times New Roman"/>
                <w:lang w:val="ru-RU"/>
              </w:rPr>
              <w:t xml:space="preserve">Раствор красителя Гимза </w:t>
            </w:r>
            <w:r w:rsidRPr="00D2285F">
              <w:rPr>
                <w:rFonts w:ascii="Times New Roman" w:hAnsi="Times New Roman"/>
                <w:lang w:val="en-US"/>
              </w:rPr>
              <w:t>KaryoMAX</w:t>
            </w:r>
            <w:r w:rsidRPr="00D2285F">
              <w:rPr>
                <w:rFonts w:ascii="Times New Roman" w:hAnsi="Times New Roman"/>
                <w:vertAlign w:val="superscript"/>
                <w:lang w:val="en-US"/>
              </w:rPr>
              <w:t>TM</w:t>
            </w:r>
            <w:r w:rsidRPr="00D2285F">
              <w:rPr>
                <w:rFonts w:ascii="Times New Roman" w:hAnsi="Times New Roman"/>
                <w:lang w:val="ru-RU"/>
              </w:rPr>
              <w:t>, 100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2285F">
              <w:rPr>
                <w:rFonts w:ascii="Times New Roman" w:hAnsi="Times New Roman"/>
                <w:lang w:val="ru-RU"/>
              </w:rPr>
              <w:t xml:space="preserve">Раствор красителя Гимза </w:t>
            </w:r>
            <w:r w:rsidRPr="00D2285F">
              <w:rPr>
                <w:rFonts w:ascii="Times New Roman" w:hAnsi="Times New Roman"/>
                <w:lang w:val="en-US"/>
              </w:rPr>
              <w:t>KaryoMAX</w:t>
            </w:r>
            <w:r w:rsidRPr="00D2285F">
              <w:rPr>
                <w:rFonts w:ascii="Times New Roman" w:hAnsi="Times New Roman"/>
                <w:vertAlign w:val="superscript"/>
                <w:lang w:val="en-US"/>
              </w:rPr>
              <w:t>TM</w:t>
            </w:r>
            <w:r w:rsidRPr="00D2285F">
              <w:rPr>
                <w:rFonts w:ascii="Times New Roman" w:hAnsi="Times New Roman"/>
                <w:lang w:val="ru-RU"/>
              </w:rPr>
              <w:t>, 100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52 479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262 395</w:t>
            </w:r>
          </w:p>
        </w:tc>
      </w:tr>
      <w:tr w:rsidR="00D2285F" w:rsidRPr="00D2285F" w:rsidTr="004A3F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2285F">
              <w:rPr>
                <w:rFonts w:ascii="Times New Roman" w:hAnsi="Times New Roman"/>
              </w:rPr>
              <w:t>Тубус операционный по BETTOCCHI, с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каналом 5 Шр. для операционных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инструментов, размер  5,4 мм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</w:rPr>
              <w:t xml:space="preserve">Тубус, внутренний по BETTOCCHI, размер  5.4 мм, с рабочим каналом для полужестких операционных инструментов размером  5 Fr. </w:t>
            </w:r>
          </w:p>
          <w:p w:rsidR="00D2285F" w:rsidRPr="00D2285F" w:rsidRDefault="00D2285F" w:rsidP="00D2285F">
            <w:pPr>
              <w:pStyle w:val="a4"/>
              <w:rPr>
                <w:rFonts w:ascii="Times New Roman" w:hAnsi="Times New Roman"/>
              </w:rPr>
            </w:pPr>
            <w:r w:rsidRPr="00D2285F">
              <w:rPr>
                <w:rFonts w:ascii="Times New Roman" w:hAnsi="Times New Roman"/>
              </w:rPr>
              <w:t>состоящий из: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26154 BI  внутренний тубус</w:t>
            </w:r>
          </w:p>
          <w:p w:rsidR="00D2285F" w:rsidRPr="00D2285F" w:rsidRDefault="00D2285F" w:rsidP="00D2285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</w:rPr>
              <w:t>27502     LUER-Lock соединитель, для использования с внешним тубусом  26154 BOK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2285F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D2285F">
              <w:rPr>
                <w:rFonts w:ascii="Times New Roman" w:hAnsi="Times New Roman"/>
                <w:lang w:val="ru-RU" w:eastAsia="ru-RU"/>
              </w:rPr>
              <w:t>345 180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D2285F" w:rsidRPr="00D2285F" w:rsidRDefault="00D2285F" w:rsidP="00D2285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3</w:t>
            </w:r>
            <w:r w:rsidRPr="00D2285F">
              <w:rPr>
                <w:rFonts w:ascii="Times New Roman" w:hAnsi="Times New Roman"/>
                <w:lang w:val="ru-RU" w:eastAsia="ru-RU"/>
              </w:rPr>
              <w:t>45</w:t>
            </w:r>
            <w:r w:rsidRPr="00D2285F">
              <w:rPr>
                <w:rFonts w:ascii="Times New Roman" w:hAnsi="Times New Roman"/>
                <w:lang w:eastAsia="ru-RU"/>
              </w:rPr>
              <w:t xml:space="preserve"> </w:t>
            </w:r>
            <w:r w:rsidRPr="00D2285F">
              <w:rPr>
                <w:rFonts w:ascii="Times New Roman" w:hAnsi="Times New Roman"/>
                <w:lang w:val="ru-RU" w:eastAsia="ru-RU"/>
              </w:rPr>
              <w:t>18</w:t>
            </w:r>
            <w:r w:rsidRPr="00D2285F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D2285F" w:rsidRPr="00D2285F" w:rsidTr="004A3FC4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</w:rPr>
            </w:pPr>
            <w:r w:rsidRPr="00D2285F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D2285F">
              <w:rPr>
                <w:rFonts w:ascii="Times New Roman" w:hAnsi="Times New Roman"/>
              </w:rPr>
              <w:t xml:space="preserve">Поставка товаров до пункта назначения в течение 15-ти календарных дней со дня заявки заказчика. Условия поставки (в соответствии с ИНКОТЕРМС 2010) – </w:t>
            </w:r>
            <w:r w:rsidRPr="00D2285F">
              <w:rPr>
                <w:rFonts w:ascii="Times New Roman" w:hAnsi="Times New Roman"/>
                <w:lang w:val="en-US"/>
              </w:rPr>
              <w:t>DDP</w:t>
            </w:r>
            <w:r w:rsidRPr="00D2285F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D2285F" w:rsidRPr="00D2285F" w:rsidRDefault="00D2285F" w:rsidP="00D2285F">
            <w:pPr>
              <w:pStyle w:val="a4"/>
              <w:rPr>
                <w:rFonts w:ascii="Times New Roman" w:hAnsi="Times New Roman"/>
              </w:rPr>
            </w:pPr>
            <w:r w:rsidRPr="00D2285F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752B2A" w:rsidRPr="00CD33BA" w:rsidRDefault="00752B2A" w:rsidP="00D2285F">
      <w:pPr>
        <w:pStyle w:val="a4"/>
        <w:rPr>
          <w:rFonts w:ascii="Times New Roman" w:hAnsi="Times New Roman"/>
          <w:sz w:val="16"/>
          <w:szCs w:val="16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D2285F" w:rsidP="00396CE2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«Хозбытхимия»</w:t>
            </w:r>
          </w:p>
        </w:tc>
        <w:tc>
          <w:tcPr>
            <w:tcW w:w="4961" w:type="dxa"/>
          </w:tcPr>
          <w:p w:rsidR="00C91744" w:rsidRPr="00C2298A" w:rsidRDefault="00396CE2" w:rsidP="00D2285F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2285F">
              <w:rPr>
                <w:rFonts w:ascii="Times New Roman" w:hAnsi="Times New Roman"/>
                <w:lang w:val="ru-RU"/>
              </w:rPr>
              <w:t>7</w:t>
            </w:r>
            <w:r w:rsidR="00C91744">
              <w:rPr>
                <w:rFonts w:ascii="Times New Roman" w:hAnsi="Times New Roman"/>
                <w:lang w:val="ru-RU"/>
              </w:rPr>
              <w:t>.0</w:t>
            </w:r>
            <w:r w:rsidR="00064A51">
              <w:rPr>
                <w:rFonts w:ascii="Times New Roman" w:hAnsi="Times New Roman"/>
                <w:lang w:val="ru-RU"/>
              </w:rPr>
              <w:t>3</w:t>
            </w:r>
            <w:r w:rsidR="00C91744">
              <w:rPr>
                <w:rFonts w:ascii="Times New Roman" w:hAnsi="Times New Roman"/>
                <w:lang w:val="ru-RU"/>
              </w:rPr>
              <w:t xml:space="preserve">.2023 г.  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D2285F">
              <w:rPr>
                <w:rFonts w:ascii="Times New Roman" w:hAnsi="Times New Roman"/>
                <w:lang w:val="ru-RU"/>
              </w:rPr>
              <w:t>8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 w:rsidR="00D2285F">
              <w:rPr>
                <w:rFonts w:ascii="Times New Roman" w:hAnsi="Times New Roman"/>
                <w:lang w:val="ru-RU"/>
              </w:rPr>
              <w:t>41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F32EC" w:rsidRPr="00C2298A" w:rsidTr="00CF4928">
        <w:tc>
          <w:tcPr>
            <w:tcW w:w="562" w:type="dxa"/>
          </w:tcPr>
          <w:p w:rsidR="003F32EC" w:rsidRPr="003F32EC" w:rsidRDefault="003F32EC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3F32EC" w:rsidRDefault="003F32EC" w:rsidP="00D2285F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D2285F">
              <w:rPr>
                <w:rFonts w:ascii="Times New Roman" w:hAnsi="Times New Roman"/>
                <w:lang w:val="en-US"/>
              </w:rPr>
              <w:t>Intermedica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F32EC" w:rsidRDefault="00396CE2" w:rsidP="00D2285F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2285F">
              <w:rPr>
                <w:rFonts w:ascii="Times New Roman" w:hAnsi="Times New Roman"/>
                <w:lang w:val="en-US"/>
              </w:rPr>
              <w:t>7</w:t>
            </w:r>
            <w:r w:rsidR="00064A51">
              <w:rPr>
                <w:rFonts w:ascii="Times New Roman" w:hAnsi="Times New Roman"/>
                <w:lang w:val="ru-RU"/>
              </w:rPr>
              <w:t xml:space="preserve">.03.2023 г. </w:t>
            </w:r>
            <w:r w:rsidR="00D2285F">
              <w:rPr>
                <w:rFonts w:ascii="Times New Roman" w:hAnsi="Times New Roman"/>
                <w:lang w:val="en-US"/>
              </w:rPr>
              <w:t>09</w:t>
            </w:r>
            <w:r w:rsidR="00064A51">
              <w:rPr>
                <w:rFonts w:ascii="Times New Roman" w:hAnsi="Times New Roman"/>
                <w:lang w:val="ru-RU"/>
              </w:rPr>
              <w:t>ч</w:t>
            </w:r>
            <w:r w:rsidR="00D2285F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064A51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B6374E" w:rsidRPr="00C2298A" w:rsidTr="00CF4928">
        <w:tc>
          <w:tcPr>
            <w:tcW w:w="562" w:type="dxa"/>
          </w:tcPr>
          <w:p w:rsidR="00B6374E" w:rsidRPr="00B6374E" w:rsidRDefault="00B6374E" w:rsidP="00CF4928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253" w:type="dxa"/>
          </w:tcPr>
          <w:p w:rsidR="00B6374E" w:rsidRPr="00D2285F" w:rsidRDefault="00B6374E" w:rsidP="00D2285F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Pr="00D2285F">
              <w:rPr>
                <w:rFonts w:ascii="Times New Roman" w:hAnsi="Times New Roman"/>
                <w:lang w:val="en-US"/>
              </w:rPr>
              <w:t xml:space="preserve"> «</w:t>
            </w:r>
            <w:r w:rsidR="00D2285F">
              <w:rPr>
                <w:rFonts w:ascii="Times New Roman" w:hAnsi="Times New Roman"/>
                <w:lang w:val="en-US"/>
              </w:rPr>
              <w:t>ZALMA Ltd.</w:t>
            </w:r>
            <w:r w:rsidRPr="00D2285F">
              <w:rPr>
                <w:rFonts w:ascii="Times New Roman" w:hAnsi="Times New Roman"/>
                <w:lang w:val="en-US"/>
              </w:rPr>
              <w:t>»</w:t>
            </w:r>
            <w:r w:rsidR="00D2285F">
              <w:rPr>
                <w:rFonts w:ascii="Times New Roman" w:hAnsi="Times New Roman"/>
                <w:lang w:val="en-US"/>
              </w:rPr>
              <w:t xml:space="preserve"> (</w:t>
            </w:r>
            <w:r w:rsidR="00D2285F">
              <w:rPr>
                <w:rFonts w:ascii="Times New Roman" w:hAnsi="Times New Roman"/>
                <w:lang w:val="ru-RU"/>
              </w:rPr>
              <w:t>ЦАЛМА</w:t>
            </w:r>
            <w:r w:rsidR="00D2285F" w:rsidRPr="00D2285F">
              <w:rPr>
                <w:rFonts w:ascii="Times New Roman" w:hAnsi="Times New Roman"/>
                <w:lang w:val="en-US"/>
              </w:rPr>
              <w:t xml:space="preserve"> </w:t>
            </w:r>
            <w:r w:rsidR="00D2285F">
              <w:rPr>
                <w:rFonts w:ascii="Times New Roman" w:hAnsi="Times New Roman"/>
                <w:lang w:val="ru-RU"/>
              </w:rPr>
              <w:t>Лтд</w:t>
            </w:r>
            <w:r w:rsidR="00D2285F" w:rsidRPr="00D2285F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4961" w:type="dxa"/>
          </w:tcPr>
          <w:p w:rsidR="00B6374E" w:rsidRDefault="00396CE2" w:rsidP="00D2285F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D2285F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B6374E">
              <w:rPr>
                <w:rFonts w:ascii="Times New Roman" w:hAnsi="Times New Roman"/>
                <w:lang w:val="ru-RU"/>
              </w:rPr>
              <w:t>03.2023 г. 0</w:t>
            </w:r>
            <w:r w:rsidR="00D2285F">
              <w:rPr>
                <w:rFonts w:ascii="Times New Roman" w:hAnsi="Times New Roman"/>
                <w:lang w:val="ru-RU"/>
              </w:rPr>
              <w:t>9</w:t>
            </w:r>
            <w:r w:rsidR="00B6374E">
              <w:rPr>
                <w:rFonts w:ascii="Times New Roman" w:hAnsi="Times New Roman"/>
                <w:lang w:val="ru-RU"/>
              </w:rPr>
              <w:t>ч</w:t>
            </w:r>
            <w:r w:rsidR="00D2285F">
              <w:rPr>
                <w:rFonts w:ascii="Times New Roman" w:hAnsi="Times New Roman"/>
                <w:lang w:val="ru-RU"/>
              </w:rPr>
              <w:t>35</w:t>
            </w:r>
            <w:r w:rsidR="00B6374E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F6066D" w:rsidRPr="00CD33BA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8815D1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pPr w:leftFromText="180" w:rightFromText="180" w:vertAnchor="text" w:tblpX="132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762"/>
        <w:gridCol w:w="5192"/>
        <w:gridCol w:w="1276"/>
        <w:gridCol w:w="992"/>
        <w:gridCol w:w="1418"/>
        <w:gridCol w:w="1984"/>
        <w:gridCol w:w="1559"/>
        <w:gridCol w:w="2268"/>
      </w:tblGrid>
      <w:tr w:rsidR="00396CE2" w:rsidRPr="00C2298A" w:rsidTr="00255987">
        <w:trPr>
          <w:trHeight w:val="298"/>
        </w:trPr>
        <w:tc>
          <w:tcPr>
            <w:tcW w:w="762" w:type="dxa"/>
          </w:tcPr>
          <w:p w:rsidR="00396CE2" w:rsidRPr="00C2298A" w:rsidRDefault="00396CE2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192" w:type="dxa"/>
          </w:tcPr>
          <w:p w:rsidR="00396CE2" w:rsidRPr="007921D1" w:rsidRDefault="00396CE2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396CE2" w:rsidRPr="007921D1" w:rsidRDefault="00396CE2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992" w:type="dxa"/>
          </w:tcPr>
          <w:p w:rsidR="00396CE2" w:rsidRPr="007921D1" w:rsidRDefault="00396CE2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8" w:type="dxa"/>
          </w:tcPr>
          <w:p w:rsidR="00396CE2" w:rsidRPr="007921D1" w:rsidRDefault="00396CE2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984" w:type="dxa"/>
          </w:tcPr>
          <w:p w:rsidR="00396CE2" w:rsidRPr="00C2298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«Хозбытхимия»</w:t>
            </w:r>
          </w:p>
        </w:tc>
        <w:tc>
          <w:tcPr>
            <w:tcW w:w="1559" w:type="dxa"/>
          </w:tcPr>
          <w:p w:rsidR="00396CE2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Intermedica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268" w:type="dxa"/>
          </w:tcPr>
          <w:p w:rsidR="00396CE2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Pr="006A03DA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ZALMA</w:t>
            </w:r>
            <w:r w:rsidRPr="006A03D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Ltd</w:t>
            </w:r>
            <w:r w:rsidRPr="006A03DA">
              <w:rPr>
                <w:rFonts w:ascii="Times New Roman" w:hAnsi="Times New Roman"/>
                <w:lang w:val="ru-RU"/>
              </w:rPr>
              <w:t>.» (</w:t>
            </w:r>
            <w:r>
              <w:rPr>
                <w:rFonts w:ascii="Times New Roman" w:hAnsi="Times New Roman"/>
                <w:lang w:val="ru-RU"/>
              </w:rPr>
              <w:t>ЦАЛМА</w:t>
            </w:r>
            <w:r w:rsidRPr="006A03D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Лтд</w:t>
            </w:r>
            <w:r w:rsidRPr="006A03DA">
              <w:rPr>
                <w:rFonts w:ascii="Times New Roman" w:hAnsi="Times New Roman"/>
                <w:lang w:val="ru-RU"/>
              </w:rPr>
              <w:t>.)</w:t>
            </w:r>
          </w:p>
        </w:tc>
      </w:tr>
      <w:tr w:rsidR="006A03DA" w:rsidRPr="00C2298A" w:rsidTr="00255987">
        <w:trPr>
          <w:trHeight w:val="153"/>
        </w:trPr>
        <w:tc>
          <w:tcPr>
            <w:tcW w:w="762" w:type="dxa"/>
          </w:tcPr>
          <w:p w:rsidR="006A03DA" w:rsidRPr="00C2298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192" w:type="dxa"/>
            <w:vAlign w:val="center"/>
          </w:tcPr>
          <w:p w:rsidR="006A03DA" w:rsidRPr="00D2285F" w:rsidRDefault="006A03DA" w:rsidP="0025598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1276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6A03DA" w:rsidRPr="00752B2A" w:rsidRDefault="006A03DA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534</w:t>
            </w:r>
            <w:r w:rsidRPr="00752B2A">
              <w:rPr>
                <w:rFonts w:ascii="Times New Roman" w:hAnsi="Times New Roman"/>
                <w:lang w:eastAsia="ru-RU"/>
              </w:rPr>
              <w:t>,9</w:t>
            </w:r>
            <w:r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6A03DA" w:rsidRPr="00DB14F7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2268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6A03DA" w:rsidRPr="00C2298A" w:rsidTr="00255987">
        <w:trPr>
          <w:trHeight w:val="153"/>
        </w:trPr>
        <w:tc>
          <w:tcPr>
            <w:tcW w:w="762" w:type="dxa"/>
          </w:tcPr>
          <w:p w:rsidR="006A03DA" w:rsidRPr="00C2298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192" w:type="dxa"/>
            <w:vAlign w:val="center"/>
          </w:tcPr>
          <w:p w:rsidR="006A03DA" w:rsidRPr="00D2285F" w:rsidRDefault="006A03DA" w:rsidP="0025598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</w:rPr>
              <w:t>Игла для цитологической биопсии COMPLETE CHIBA (CCH) с размерами 18G 15 см</w:t>
            </w:r>
          </w:p>
        </w:tc>
        <w:tc>
          <w:tcPr>
            <w:tcW w:w="1276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6A03DA" w:rsidRPr="00752B2A" w:rsidRDefault="006A03DA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</w:t>
            </w:r>
            <w:r w:rsidRPr="00752B2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6A03DA" w:rsidRPr="00752B2A" w:rsidRDefault="006A03DA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val="ru-RU" w:eastAsia="ru-RU"/>
              </w:rPr>
              <w:t xml:space="preserve"> 950</w:t>
            </w:r>
          </w:p>
        </w:tc>
        <w:tc>
          <w:tcPr>
            <w:tcW w:w="1984" w:type="dxa"/>
            <w:vAlign w:val="center"/>
          </w:tcPr>
          <w:p w:rsidR="006A03DA" w:rsidRPr="00DB14F7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A03DA" w:rsidRPr="006810D8" w:rsidRDefault="00CD33B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9 850</w:t>
            </w:r>
          </w:p>
        </w:tc>
        <w:tc>
          <w:tcPr>
            <w:tcW w:w="2268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6A03DA" w:rsidRPr="00C2298A" w:rsidTr="00255987">
        <w:trPr>
          <w:trHeight w:val="153"/>
        </w:trPr>
        <w:tc>
          <w:tcPr>
            <w:tcW w:w="762" w:type="dxa"/>
          </w:tcPr>
          <w:p w:rsidR="006A03DA" w:rsidRPr="00C2298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192" w:type="dxa"/>
            <w:vAlign w:val="center"/>
          </w:tcPr>
          <w:p w:rsidR="006A03DA" w:rsidRPr="00D2285F" w:rsidRDefault="006A03DA" w:rsidP="0025598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</w:rPr>
              <w:t>Игла для цитологической биопсии COMPLETE CHIBA (CCH) с размерами 22G 15 см.</w:t>
            </w:r>
          </w:p>
        </w:tc>
        <w:tc>
          <w:tcPr>
            <w:tcW w:w="1276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6A03DA" w:rsidRPr="00752B2A" w:rsidRDefault="006A03DA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</w:t>
            </w:r>
            <w:r w:rsidRPr="00752B2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9 9</w:t>
            </w:r>
            <w:r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6A03DA" w:rsidRPr="00DB14F7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A03DA" w:rsidRPr="006810D8" w:rsidRDefault="00CD33B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9 850</w:t>
            </w:r>
          </w:p>
        </w:tc>
        <w:tc>
          <w:tcPr>
            <w:tcW w:w="2268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6A03DA" w:rsidRPr="00C2298A" w:rsidTr="00255987">
        <w:trPr>
          <w:trHeight w:val="153"/>
        </w:trPr>
        <w:tc>
          <w:tcPr>
            <w:tcW w:w="762" w:type="dxa"/>
          </w:tcPr>
          <w:p w:rsid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192" w:type="dxa"/>
            <w:vAlign w:val="center"/>
          </w:tcPr>
          <w:p w:rsidR="006A03DA" w:rsidRPr="00D2285F" w:rsidRDefault="006A03DA" w:rsidP="0025598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  <w:lang w:eastAsia="ru-RU"/>
              </w:rPr>
              <w:t>Буферные таблетки Гурр,  50*100мл</w:t>
            </w:r>
          </w:p>
        </w:tc>
        <w:tc>
          <w:tcPr>
            <w:tcW w:w="1276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  <w:r w:rsidRPr="00752B2A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val="ru-RU" w:eastAsia="ru-RU"/>
              </w:rPr>
              <w:t xml:space="preserve"> 566</w:t>
            </w:r>
          </w:p>
        </w:tc>
        <w:tc>
          <w:tcPr>
            <w:tcW w:w="1984" w:type="dxa"/>
            <w:vAlign w:val="center"/>
          </w:tcPr>
          <w:p w:rsidR="006A03DA" w:rsidRPr="00DB14F7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2268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47 374,99</w:t>
            </w:r>
          </w:p>
        </w:tc>
      </w:tr>
      <w:tr w:rsidR="006A03DA" w:rsidRPr="00C2298A" w:rsidTr="00255987">
        <w:trPr>
          <w:trHeight w:val="153"/>
        </w:trPr>
        <w:tc>
          <w:tcPr>
            <w:tcW w:w="762" w:type="dxa"/>
          </w:tcPr>
          <w:p w:rsid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192" w:type="dxa"/>
            <w:vAlign w:val="center"/>
          </w:tcPr>
          <w:p w:rsidR="006A03DA" w:rsidRPr="00D2285F" w:rsidRDefault="006A03DA" w:rsidP="0025598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D2285F">
              <w:rPr>
                <w:rFonts w:ascii="Times New Roman" w:hAnsi="Times New Roman"/>
                <w:lang w:val="ru-RU"/>
              </w:rPr>
              <w:t xml:space="preserve">Раствор красителя Гимза </w:t>
            </w:r>
            <w:r w:rsidRPr="00D2285F">
              <w:rPr>
                <w:rFonts w:ascii="Times New Roman" w:hAnsi="Times New Roman"/>
                <w:lang w:val="en-US"/>
              </w:rPr>
              <w:t>KaryoMAX</w:t>
            </w:r>
            <w:r w:rsidRPr="00D2285F">
              <w:rPr>
                <w:rFonts w:ascii="Times New Roman" w:hAnsi="Times New Roman"/>
                <w:vertAlign w:val="superscript"/>
                <w:lang w:val="en-US"/>
              </w:rPr>
              <w:t>TM</w:t>
            </w:r>
            <w:r w:rsidRPr="00D2285F">
              <w:rPr>
                <w:rFonts w:ascii="Times New Roman" w:hAnsi="Times New Roman"/>
                <w:lang w:val="ru-RU"/>
              </w:rPr>
              <w:t>, 100 мл</w:t>
            </w:r>
          </w:p>
        </w:tc>
        <w:tc>
          <w:tcPr>
            <w:tcW w:w="1276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52 479</w:t>
            </w:r>
          </w:p>
        </w:tc>
        <w:tc>
          <w:tcPr>
            <w:tcW w:w="1984" w:type="dxa"/>
            <w:vAlign w:val="center"/>
          </w:tcPr>
          <w:p w:rsidR="006A03DA" w:rsidRPr="00DB14F7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2268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33 086</w:t>
            </w:r>
          </w:p>
        </w:tc>
      </w:tr>
      <w:tr w:rsidR="006A03DA" w:rsidRPr="00C2298A" w:rsidTr="00255987">
        <w:trPr>
          <w:trHeight w:val="153"/>
        </w:trPr>
        <w:tc>
          <w:tcPr>
            <w:tcW w:w="762" w:type="dxa"/>
          </w:tcPr>
          <w:p w:rsid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192" w:type="dxa"/>
            <w:vAlign w:val="center"/>
          </w:tcPr>
          <w:p w:rsidR="006A03DA" w:rsidRPr="00752B2A" w:rsidRDefault="006A03DA" w:rsidP="0025598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D2285F">
              <w:rPr>
                <w:rFonts w:ascii="Times New Roman" w:hAnsi="Times New Roman"/>
              </w:rPr>
              <w:t>Тубус операционный по BETTOCCHI, с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каналом 5 Шр. для операционных</w:t>
            </w:r>
            <w:r w:rsidRPr="00D2285F">
              <w:rPr>
                <w:rFonts w:ascii="Times New Roman" w:hAnsi="Times New Roman"/>
                <w:lang w:val="ru-RU"/>
              </w:rPr>
              <w:t xml:space="preserve"> </w:t>
            </w:r>
            <w:r w:rsidRPr="00D2285F">
              <w:rPr>
                <w:rFonts w:ascii="Times New Roman" w:hAnsi="Times New Roman"/>
              </w:rPr>
              <w:t>инструментов, размер  5,4 мм</w:t>
            </w:r>
          </w:p>
        </w:tc>
        <w:tc>
          <w:tcPr>
            <w:tcW w:w="1276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6A03DA" w:rsidRPr="00752B2A" w:rsidRDefault="006A03DA" w:rsidP="0025598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6A03DA" w:rsidRPr="006A03DA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752B2A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ru-RU" w:eastAsia="ru-RU"/>
              </w:rPr>
              <w:t>45</w:t>
            </w:r>
            <w:r w:rsidRPr="00752B2A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180</w:t>
            </w:r>
          </w:p>
        </w:tc>
        <w:tc>
          <w:tcPr>
            <w:tcW w:w="1984" w:type="dxa"/>
            <w:vAlign w:val="center"/>
          </w:tcPr>
          <w:p w:rsidR="006A03DA" w:rsidRPr="00DB14F7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345 180</w:t>
            </w:r>
          </w:p>
        </w:tc>
        <w:tc>
          <w:tcPr>
            <w:tcW w:w="1559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2268" w:type="dxa"/>
            <w:vAlign w:val="center"/>
          </w:tcPr>
          <w:p w:rsidR="006A03DA" w:rsidRPr="006810D8" w:rsidRDefault="006A03DA" w:rsidP="0025598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</w:tbl>
    <w:p w:rsidR="00396CE2" w:rsidRDefault="00396CE2" w:rsidP="00396CE2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C91744" w:rsidRPr="00D460AC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 xml:space="preserve">При вскрытии конвертов потенциальные поставщики либо их уполномоченные представители отсутствовали. </w:t>
      </w:r>
    </w:p>
    <w:p w:rsidR="00C91744" w:rsidRPr="00D460AC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Pr="00D460AC" w:rsidRDefault="00C91744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 xml:space="preserve">Лоты № </w:t>
      </w:r>
      <w:r w:rsidR="005C0912" w:rsidRPr="00D460AC">
        <w:rPr>
          <w:rFonts w:ascii="Times New Roman" w:hAnsi="Times New Roman" w:cs="Times New Roman"/>
        </w:rPr>
        <w:t>2, 3</w:t>
      </w:r>
      <w:r w:rsidRPr="00D460AC">
        <w:rPr>
          <w:rFonts w:ascii="Times New Roman" w:hAnsi="Times New Roman" w:cs="Times New Roman"/>
        </w:rPr>
        <w:t xml:space="preserve">: </w:t>
      </w:r>
      <w:r w:rsidR="00D03FA1" w:rsidRPr="00D460AC">
        <w:rPr>
          <w:rFonts w:ascii="Times New Roman" w:hAnsi="Times New Roman"/>
        </w:rPr>
        <w:t>ТОО «</w:t>
      </w:r>
      <w:proofErr w:type="spellStart"/>
      <w:r w:rsidR="005C0912" w:rsidRPr="00D460AC">
        <w:rPr>
          <w:rFonts w:ascii="Times New Roman" w:hAnsi="Times New Roman"/>
          <w:lang w:val="en-US"/>
        </w:rPr>
        <w:t>Intermedica</w:t>
      </w:r>
      <w:proofErr w:type="spellEnd"/>
      <w:r w:rsidR="00D03FA1" w:rsidRPr="00D460AC">
        <w:rPr>
          <w:rFonts w:ascii="Times New Roman" w:hAnsi="Times New Roman"/>
        </w:rPr>
        <w:t>»</w:t>
      </w:r>
      <w:r w:rsidR="00D03FA1" w:rsidRPr="00D460AC">
        <w:rPr>
          <w:rFonts w:ascii="Times New Roman" w:hAnsi="Times New Roman" w:cs="Times New Roman"/>
        </w:rPr>
        <w:t xml:space="preserve"> </w:t>
      </w:r>
      <w:r w:rsidRPr="00D460AC">
        <w:rPr>
          <w:rFonts w:ascii="Times New Roman" w:hAnsi="Times New Roman" w:cs="Times New Roman"/>
        </w:rPr>
        <w:t>(</w:t>
      </w:r>
      <w:r w:rsidR="005C0912" w:rsidRPr="00D460AC">
        <w:rPr>
          <w:rFonts w:ascii="Times New Roman" w:hAnsi="Times New Roman" w:cs="Times New Roman"/>
        </w:rPr>
        <w:t xml:space="preserve">г. Астана, ул. Александра Бараева, д. 8/1, </w:t>
      </w:r>
      <w:proofErr w:type="spellStart"/>
      <w:r w:rsidR="00D460AC" w:rsidRPr="00D460AC">
        <w:rPr>
          <w:rFonts w:ascii="Times New Roman" w:hAnsi="Times New Roman" w:cs="Times New Roman"/>
        </w:rPr>
        <w:t>нп</w:t>
      </w:r>
      <w:proofErr w:type="spellEnd"/>
      <w:r w:rsidR="005C0912" w:rsidRPr="00D460AC">
        <w:rPr>
          <w:rFonts w:ascii="Times New Roman" w:hAnsi="Times New Roman" w:cs="Times New Roman"/>
        </w:rPr>
        <w:t xml:space="preserve"> 19</w:t>
      </w:r>
      <w:r w:rsidRPr="00D460AC">
        <w:rPr>
          <w:rFonts w:ascii="Times New Roman" w:hAnsi="Times New Roman" w:cs="Times New Roman"/>
        </w:rPr>
        <w:t xml:space="preserve">) – </w:t>
      </w:r>
      <w:r w:rsidRPr="00D460AC">
        <w:rPr>
          <w:rFonts w:ascii="Times New Roman" w:hAnsi="Times New Roman" w:cs="Times New Roman"/>
          <w:lang w:val="kk-KZ"/>
        </w:rPr>
        <w:t xml:space="preserve"> </w:t>
      </w:r>
      <w:r w:rsidR="003F7937" w:rsidRPr="00D460AC">
        <w:rPr>
          <w:rFonts w:ascii="Times New Roman" w:hAnsi="Times New Roman" w:cs="Times New Roman"/>
          <w:lang w:val="kk-KZ"/>
        </w:rPr>
        <w:t xml:space="preserve"> </w:t>
      </w:r>
      <w:r w:rsidR="005C0912" w:rsidRPr="00D460AC">
        <w:rPr>
          <w:rFonts w:ascii="Times New Roman" w:hAnsi="Times New Roman" w:cs="Times New Roman"/>
          <w:lang w:val="kk-KZ"/>
        </w:rPr>
        <w:t>1</w:t>
      </w:r>
      <w:r w:rsidR="00626A17" w:rsidRPr="00D460AC">
        <w:rPr>
          <w:rFonts w:ascii="Times New Roman" w:hAnsi="Times New Roman" w:cs="Times New Roman"/>
          <w:lang w:val="kk-KZ"/>
        </w:rPr>
        <w:t> </w:t>
      </w:r>
      <w:r w:rsidR="005C0912" w:rsidRPr="00D460AC">
        <w:rPr>
          <w:rFonts w:ascii="Times New Roman" w:hAnsi="Times New Roman" w:cs="Times New Roman"/>
          <w:lang w:val="kk-KZ"/>
        </w:rPr>
        <w:t>182</w:t>
      </w:r>
      <w:r w:rsidR="00626A17" w:rsidRPr="00D460AC">
        <w:rPr>
          <w:rFonts w:ascii="Times New Roman" w:hAnsi="Times New Roman" w:cs="Times New Roman"/>
          <w:lang w:val="kk-KZ"/>
        </w:rPr>
        <w:t xml:space="preserve"> </w:t>
      </w:r>
      <w:r w:rsidR="00170077" w:rsidRPr="00D460AC">
        <w:rPr>
          <w:rFonts w:ascii="Times New Roman" w:hAnsi="Times New Roman" w:cs="Times New Roman"/>
          <w:lang w:val="kk-KZ"/>
        </w:rPr>
        <w:t>000</w:t>
      </w:r>
      <w:r w:rsidRPr="00D460AC">
        <w:rPr>
          <w:rFonts w:ascii="Times New Roman" w:hAnsi="Times New Roman" w:cs="Times New Roman"/>
        </w:rPr>
        <w:t xml:space="preserve"> тенге</w:t>
      </w:r>
      <w:r w:rsidR="00825DC6" w:rsidRPr="00D460AC">
        <w:rPr>
          <w:rFonts w:ascii="Times New Roman" w:hAnsi="Times New Roman" w:cs="Times New Roman"/>
        </w:rPr>
        <w:t>;</w:t>
      </w:r>
    </w:p>
    <w:p w:rsidR="001B0C82" w:rsidRPr="00D460AC" w:rsidRDefault="00825DC6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proofErr w:type="gramStart"/>
      <w:r w:rsidRPr="00D460AC">
        <w:rPr>
          <w:rFonts w:ascii="Times New Roman" w:hAnsi="Times New Roman" w:cs="Times New Roman"/>
        </w:rPr>
        <w:t>Лот</w:t>
      </w:r>
      <w:r w:rsidR="00170077" w:rsidRPr="00D460AC">
        <w:rPr>
          <w:rFonts w:ascii="Times New Roman" w:hAnsi="Times New Roman" w:cs="Times New Roman"/>
        </w:rPr>
        <w:t xml:space="preserve">ы </w:t>
      </w:r>
      <w:r w:rsidRPr="00D460AC">
        <w:rPr>
          <w:rFonts w:ascii="Times New Roman" w:hAnsi="Times New Roman" w:cs="Times New Roman"/>
        </w:rPr>
        <w:t xml:space="preserve"> №</w:t>
      </w:r>
      <w:proofErr w:type="gramEnd"/>
      <w:r w:rsidRPr="00D460AC">
        <w:rPr>
          <w:rFonts w:ascii="Times New Roman" w:hAnsi="Times New Roman" w:cs="Times New Roman"/>
        </w:rPr>
        <w:t xml:space="preserve"> </w:t>
      </w:r>
      <w:r w:rsidR="00170077" w:rsidRPr="00D460AC">
        <w:rPr>
          <w:rFonts w:ascii="Times New Roman" w:hAnsi="Times New Roman" w:cs="Times New Roman"/>
        </w:rPr>
        <w:t>4</w:t>
      </w:r>
      <w:r w:rsidR="005C0912" w:rsidRPr="00D460AC">
        <w:rPr>
          <w:rFonts w:ascii="Times New Roman" w:hAnsi="Times New Roman" w:cs="Times New Roman"/>
        </w:rPr>
        <w:t>, 5</w:t>
      </w:r>
      <w:r w:rsidRPr="00D460AC">
        <w:rPr>
          <w:rFonts w:ascii="Times New Roman" w:hAnsi="Times New Roman" w:cs="Times New Roman"/>
        </w:rPr>
        <w:t>: ТОО «</w:t>
      </w:r>
      <w:r w:rsidR="005C0912" w:rsidRPr="00D460AC">
        <w:rPr>
          <w:rFonts w:ascii="Times New Roman" w:hAnsi="Times New Roman"/>
          <w:lang w:val="en-US"/>
        </w:rPr>
        <w:t>ZALMA</w:t>
      </w:r>
      <w:r w:rsidR="005C0912" w:rsidRPr="00D460AC">
        <w:rPr>
          <w:rFonts w:ascii="Times New Roman" w:hAnsi="Times New Roman"/>
        </w:rPr>
        <w:t xml:space="preserve"> </w:t>
      </w:r>
      <w:r w:rsidR="005C0912" w:rsidRPr="00D460AC">
        <w:rPr>
          <w:rFonts w:ascii="Times New Roman" w:hAnsi="Times New Roman"/>
          <w:lang w:val="en-US"/>
        </w:rPr>
        <w:t>Ltd</w:t>
      </w:r>
      <w:r w:rsidR="005C0912" w:rsidRPr="00D460AC">
        <w:rPr>
          <w:rFonts w:ascii="Times New Roman" w:hAnsi="Times New Roman"/>
        </w:rPr>
        <w:t>.» (ЦАЛМА Лтд.)</w:t>
      </w:r>
      <w:r w:rsidRPr="00D460AC">
        <w:rPr>
          <w:rFonts w:ascii="Times New Roman" w:hAnsi="Times New Roman" w:cs="Times New Roman"/>
        </w:rPr>
        <w:t xml:space="preserve"> (</w:t>
      </w:r>
      <w:proofErr w:type="gramStart"/>
      <w:r w:rsidR="000C0FAB" w:rsidRPr="00D460AC">
        <w:rPr>
          <w:rFonts w:ascii="Times New Roman" w:hAnsi="Times New Roman"/>
          <w:lang w:val="kk-KZ"/>
        </w:rPr>
        <w:t>г.</w:t>
      </w:r>
      <w:proofErr w:type="gramEnd"/>
      <w:r w:rsidR="000C0FAB" w:rsidRPr="00D460AC">
        <w:rPr>
          <w:rFonts w:ascii="Times New Roman" w:hAnsi="Times New Roman"/>
          <w:lang w:val="kk-KZ"/>
        </w:rPr>
        <w:t xml:space="preserve"> Алматы, Алмалинский район, ул. Богенбай батыра, 305А</w:t>
      </w:r>
      <w:r w:rsidR="00255987" w:rsidRPr="00D460AC">
        <w:rPr>
          <w:rFonts w:ascii="Times New Roman" w:hAnsi="Times New Roman"/>
          <w:lang w:val="kk-KZ"/>
        </w:rPr>
        <w:t>)</w:t>
      </w:r>
      <w:r w:rsidRPr="00D460AC">
        <w:rPr>
          <w:rFonts w:ascii="Times New Roman" w:hAnsi="Times New Roman" w:cs="Times New Roman"/>
        </w:rPr>
        <w:t xml:space="preserve"> – </w:t>
      </w:r>
      <w:r w:rsidR="00255987" w:rsidRPr="00D460AC">
        <w:rPr>
          <w:rFonts w:ascii="Times New Roman" w:hAnsi="Times New Roman" w:cs="Times New Roman"/>
        </w:rPr>
        <w:t>354 929,96</w:t>
      </w:r>
      <w:r w:rsidRPr="00D460AC">
        <w:rPr>
          <w:rFonts w:ascii="Times New Roman" w:hAnsi="Times New Roman" w:cs="Times New Roman"/>
        </w:rPr>
        <w:t xml:space="preserve"> тенге</w:t>
      </w:r>
      <w:r w:rsidR="001B0C82" w:rsidRPr="00D460AC">
        <w:rPr>
          <w:rFonts w:ascii="Times New Roman" w:hAnsi="Times New Roman" w:cs="Times New Roman"/>
        </w:rPr>
        <w:t>;</w:t>
      </w:r>
    </w:p>
    <w:p w:rsidR="00255987" w:rsidRPr="00D460AC" w:rsidRDefault="00255987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>Лот № 6: ТОО «</w:t>
      </w:r>
      <w:proofErr w:type="spellStart"/>
      <w:r w:rsidRPr="00D460AC">
        <w:rPr>
          <w:rFonts w:ascii="Times New Roman" w:hAnsi="Times New Roman" w:cs="Times New Roman"/>
        </w:rPr>
        <w:t>Хозбытхимия</w:t>
      </w:r>
      <w:proofErr w:type="spellEnd"/>
      <w:r w:rsidRPr="00D460AC">
        <w:rPr>
          <w:rFonts w:ascii="Times New Roman" w:hAnsi="Times New Roman" w:cs="Times New Roman"/>
        </w:rPr>
        <w:t xml:space="preserve">» (г. </w:t>
      </w:r>
      <w:proofErr w:type="spellStart"/>
      <w:r w:rsidRPr="00D460AC">
        <w:rPr>
          <w:rFonts w:ascii="Times New Roman" w:hAnsi="Times New Roman" w:cs="Times New Roman"/>
        </w:rPr>
        <w:t>Кызылорда</w:t>
      </w:r>
      <w:proofErr w:type="spellEnd"/>
      <w:r w:rsidRPr="00D460AC">
        <w:rPr>
          <w:rFonts w:ascii="Times New Roman" w:hAnsi="Times New Roman" w:cs="Times New Roman"/>
        </w:rPr>
        <w:t xml:space="preserve">, ул. </w:t>
      </w:r>
      <w:proofErr w:type="spellStart"/>
      <w:r w:rsidRPr="00D460AC">
        <w:rPr>
          <w:rFonts w:ascii="Times New Roman" w:hAnsi="Times New Roman" w:cs="Times New Roman"/>
        </w:rPr>
        <w:t>Жандосова</w:t>
      </w:r>
      <w:proofErr w:type="spellEnd"/>
      <w:r w:rsidRPr="00D460AC">
        <w:rPr>
          <w:rFonts w:ascii="Times New Roman" w:hAnsi="Times New Roman" w:cs="Times New Roman"/>
        </w:rPr>
        <w:t>, 25) – 345 180 тенге.</w:t>
      </w:r>
    </w:p>
    <w:p w:rsidR="003F4A17" w:rsidRPr="00D460AC" w:rsidRDefault="003F4A17" w:rsidP="003F4A17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/>
        </w:rPr>
        <w:t>По лот</w:t>
      </w:r>
      <w:r w:rsidR="001E4C18" w:rsidRPr="00D460AC">
        <w:rPr>
          <w:rFonts w:ascii="Times New Roman" w:hAnsi="Times New Roman"/>
        </w:rPr>
        <w:t>у</w:t>
      </w:r>
      <w:r w:rsidRPr="00D460AC">
        <w:rPr>
          <w:rFonts w:ascii="Times New Roman" w:hAnsi="Times New Roman"/>
        </w:rPr>
        <w:t xml:space="preserve"> № </w:t>
      </w:r>
      <w:r w:rsidR="00456D4D" w:rsidRPr="00D460AC">
        <w:rPr>
          <w:rFonts w:ascii="Times New Roman" w:hAnsi="Times New Roman"/>
        </w:rPr>
        <w:t>1</w:t>
      </w:r>
      <w:r w:rsidRPr="00D460AC">
        <w:rPr>
          <w:rFonts w:ascii="Times New Roman" w:hAnsi="Times New Roman"/>
        </w:rPr>
        <w:t xml:space="preserve"> закупки признать не состоявшимся в виду отсутствия представленных заявок на участие в закупе способом ценовых предложений.</w:t>
      </w:r>
    </w:p>
    <w:p w:rsidR="00C91744" w:rsidRPr="00D460AC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D460AC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D460AC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D460AC">
        <w:rPr>
          <w:rFonts w:ascii="Times New Roman" w:hAnsi="Times New Roman" w:cs="Times New Roman"/>
        </w:rPr>
        <w:t>интернет-ресурс</w:t>
      </w:r>
      <w:proofErr w:type="spellEnd"/>
      <w:r w:rsidRPr="00D460AC">
        <w:rPr>
          <w:rFonts w:ascii="Times New Roman" w:hAnsi="Times New Roman" w:cs="Times New Roman"/>
        </w:rPr>
        <w:t xml:space="preserve"> Заказчика.</w:t>
      </w: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75C4"/>
    <w:rsid w:val="0021153E"/>
    <w:rsid w:val="002223D3"/>
    <w:rsid w:val="002255D5"/>
    <w:rsid w:val="00245580"/>
    <w:rsid w:val="00250661"/>
    <w:rsid w:val="00250E04"/>
    <w:rsid w:val="00255987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F43E4"/>
    <w:rsid w:val="005F4931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25DC6"/>
    <w:rsid w:val="00830813"/>
    <w:rsid w:val="00834C81"/>
    <w:rsid w:val="00852CA9"/>
    <w:rsid w:val="00854A94"/>
    <w:rsid w:val="00856DD1"/>
    <w:rsid w:val="00864B66"/>
    <w:rsid w:val="00873B8E"/>
    <w:rsid w:val="008815D1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3FA1"/>
    <w:rsid w:val="00D07770"/>
    <w:rsid w:val="00D20F46"/>
    <w:rsid w:val="00D2285F"/>
    <w:rsid w:val="00D36CAD"/>
    <w:rsid w:val="00D41AD0"/>
    <w:rsid w:val="00D460AC"/>
    <w:rsid w:val="00D66348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C391B-B097-42CD-AB1B-E81CD478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2023-03-10T12:59:00Z</cp:lastPrinted>
  <dcterms:created xsi:type="dcterms:W3CDTF">2023-03-27T14:13:00Z</dcterms:created>
  <dcterms:modified xsi:type="dcterms:W3CDTF">2023-03-27T14:13:00Z</dcterms:modified>
</cp:coreProperties>
</file>