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 xml:space="preserve">Протокол </w:t>
      </w:r>
    </w:p>
    <w:p w:rsidR="00EF03F0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51AEC">
        <w:rPr>
          <w:rFonts w:ascii="Times New Roman" w:hAnsi="Times New Roman" w:cs="Times New Roman"/>
          <w:b/>
        </w:rPr>
        <w:t>об итогах закуп</w:t>
      </w:r>
      <w:r w:rsidR="00E81DA4" w:rsidRPr="00E51AEC">
        <w:rPr>
          <w:rFonts w:ascii="Times New Roman" w:hAnsi="Times New Roman" w:cs="Times New Roman"/>
          <w:b/>
        </w:rPr>
        <w:t>а</w:t>
      </w:r>
      <w:r w:rsidRPr="00E51AEC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E51AEC">
        <w:rPr>
          <w:rFonts w:ascii="Times New Roman" w:hAnsi="Times New Roman" w:cs="Times New Roman"/>
          <w:b/>
        </w:rPr>
        <w:t xml:space="preserve"> по</w:t>
      </w:r>
      <w:r w:rsidR="00C2298A" w:rsidRPr="00E51AEC">
        <w:rPr>
          <w:rFonts w:ascii="Times New Roman" w:hAnsi="Times New Roman" w:cs="Times New Roman"/>
          <w:b/>
        </w:rPr>
        <w:t xml:space="preserve"> </w:t>
      </w:r>
    </w:p>
    <w:p w:rsidR="00EF03F0" w:rsidRPr="00E51AEC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/>
          <w:lang w:val="kk-KZ"/>
        </w:rPr>
        <w:t xml:space="preserve"> закупу </w:t>
      </w:r>
      <w:r w:rsidR="00F61E5D">
        <w:rPr>
          <w:rFonts w:ascii="Times New Roman" w:hAnsi="Times New Roman"/>
          <w:lang w:val="kk-KZ"/>
        </w:rPr>
        <w:t>лекарственных средств</w:t>
      </w:r>
      <w:r w:rsidRPr="00E51AEC">
        <w:rPr>
          <w:rFonts w:ascii="Times New Roman" w:hAnsi="Times New Roman"/>
          <w:lang w:val="kk-KZ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 </w:t>
      </w:r>
      <w:r w:rsidR="00C013CD">
        <w:rPr>
          <w:rFonts w:ascii="Times New Roman" w:hAnsi="Times New Roman" w:cs="Times New Roman"/>
        </w:rPr>
        <w:t xml:space="preserve">и медицинских изделий </w:t>
      </w:r>
      <w:r w:rsidR="00F31AF3" w:rsidRPr="00E51AEC">
        <w:rPr>
          <w:rFonts w:ascii="Times New Roman" w:hAnsi="Times New Roman" w:cs="Times New Roman"/>
        </w:rPr>
        <w:t xml:space="preserve">для </w:t>
      </w:r>
      <w:r w:rsidR="00D9573C" w:rsidRPr="00E51AEC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E51AEC">
        <w:rPr>
          <w:rFonts w:ascii="Times New Roman" w:hAnsi="Times New Roman" w:cs="Times New Roman"/>
        </w:rPr>
        <w:t>оммунального</w:t>
      </w:r>
      <w:proofErr w:type="spellEnd"/>
      <w:r w:rsidR="00F31AF3" w:rsidRPr="00E51AEC">
        <w:rPr>
          <w:rFonts w:ascii="Times New Roman" w:hAnsi="Times New Roman" w:cs="Times New Roman"/>
        </w:rPr>
        <w:t xml:space="preserve"> </w:t>
      </w:r>
      <w:r w:rsidR="00041B24" w:rsidRPr="00E51AEC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E51AEC">
        <w:rPr>
          <w:rFonts w:ascii="Times New Roman" w:hAnsi="Times New Roman" w:cs="Times New Roman"/>
        </w:rPr>
        <w:t>осударственного</w:t>
      </w:r>
      <w:proofErr w:type="spellEnd"/>
      <w:r w:rsidR="00041B24" w:rsidRPr="00E51AEC">
        <w:rPr>
          <w:rFonts w:ascii="Times New Roman" w:hAnsi="Times New Roman" w:cs="Times New Roman"/>
        </w:rPr>
        <w:t xml:space="preserve"> </w:t>
      </w:r>
      <w:r w:rsidR="00F31AF3" w:rsidRPr="00E51AEC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E51AEC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E51AEC">
        <w:rPr>
          <w:rFonts w:ascii="Times New Roman" w:hAnsi="Times New Roman" w:cs="Times New Roman"/>
        </w:rPr>
        <w:t>Кызылординской</w:t>
      </w:r>
      <w:proofErr w:type="spellEnd"/>
      <w:r w:rsidRPr="00E51AEC">
        <w:rPr>
          <w:rFonts w:ascii="Times New Roman" w:hAnsi="Times New Roman" w:cs="Times New Roman"/>
        </w:rPr>
        <w:t xml:space="preserve"> области</w:t>
      </w:r>
    </w:p>
    <w:p w:rsidR="00EF03F0" w:rsidRPr="00E51AEC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E51AEC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г.</w:t>
      </w:r>
      <w:r w:rsidR="007434A1" w:rsidRPr="00E51AEC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E51AEC">
        <w:rPr>
          <w:rFonts w:ascii="Times New Roman" w:hAnsi="Times New Roman" w:cs="Times New Roman"/>
        </w:rPr>
        <w:t>Кызылорда</w:t>
      </w:r>
      <w:proofErr w:type="spellEnd"/>
      <w:r w:rsidR="00E6335E" w:rsidRPr="00E51AEC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 </w:t>
      </w:r>
      <w:r w:rsidR="00E62F3A" w:rsidRPr="00E51AEC">
        <w:rPr>
          <w:rFonts w:ascii="Times New Roman" w:hAnsi="Times New Roman" w:cs="Times New Roman"/>
          <w:lang w:val="kk-KZ"/>
        </w:rPr>
        <w:t xml:space="preserve">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</w:t>
      </w:r>
      <w:r w:rsidR="00E62F3A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 </w:t>
      </w:r>
      <w:r w:rsidR="00F2388F" w:rsidRPr="00E51AEC">
        <w:rPr>
          <w:rFonts w:ascii="Times New Roman" w:hAnsi="Times New Roman" w:cs="Times New Roman"/>
          <w:lang w:val="kk-KZ"/>
        </w:rPr>
        <w:t xml:space="preserve">№ </w:t>
      </w:r>
      <w:r w:rsidR="00EF08BE" w:rsidRPr="00EF08BE">
        <w:rPr>
          <w:rFonts w:ascii="Times New Roman" w:hAnsi="Times New Roman" w:cs="Times New Roman"/>
        </w:rPr>
        <w:t>1</w:t>
      </w:r>
      <w:r w:rsidR="00C013CD">
        <w:rPr>
          <w:rFonts w:ascii="Times New Roman" w:hAnsi="Times New Roman" w:cs="Times New Roman"/>
        </w:rPr>
        <w:t>5</w:t>
      </w:r>
      <w:r w:rsidR="00E6335E" w:rsidRPr="00E51AEC">
        <w:rPr>
          <w:rFonts w:ascii="Times New Roman" w:hAnsi="Times New Roman" w:cs="Times New Roman"/>
          <w:lang w:val="kk-KZ"/>
        </w:rPr>
        <w:t xml:space="preserve">                    </w:t>
      </w:r>
      <w:r w:rsidRPr="00E51AEC">
        <w:rPr>
          <w:rFonts w:ascii="Times New Roman" w:hAnsi="Times New Roman" w:cs="Times New Roman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 xml:space="preserve">  </w:t>
      </w:r>
      <w:r w:rsidR="00B6502E" w:rsidRPr="00E51AEC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E51AEC">
        <w:rPr>
          <w:rFonts w:ascii="Times New Roman" w:hAnsi="Times New Roman" w:cs="Times New Roman"/>
          <w:lang w:val="kk-KZ"/>
        </w:rPr>
        <w:t xml:space="preserve">        </w:t>
      </w:r>
      <w:r w:rsidR="007434A1" w:rsidRPr="00E51AEC">
        <w:rPr>
          <w:rFonts w:ascii="Times New Roman" w:hAnsi="Times New Roman" w:cs="Times New Roman"/>
          <w:lang w:val="kk-KZ"/>
        </w:rPr>
        <w:t xml:space="preserve">  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C36D01" w:rsidRPr="00E51AEC">
        <w:rPr>
          <w:rFonts w:ascii="Times New Roman" w:hAnsi="Times New Roman" w:cs="Times New Roman"/>
          <w:lang w:val="kk-KZ"/>
        </w:rPr>
        <w:t xml:space="preserve">   </w:t>
      </w:r>
      <w:r w:rsidR="007C3BD9" w:rsidRPr="00E51AEC">
        <w:rPr>
          <w:rFonts w:ascii="Times New Roman" w:hAnsi="Times New Roman" w:cs="Times New Roman"/>
          <w:lang w:val="kk-KZ"/>
        </w:rPr>
        <w:t xml:space="preserve"> </w:t>
      </w:r>
      <w:r w:rsidR="00B4554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E51AEC">
        <w:rPr>
          <w:rFonts w:ascii="Times New Roman" w:hAnsi="Times New Roman" w:cs="Times New Roman"/>
          <w:lang w:val="kk-KZ"/>
        </w:rPr>
        <w:t xml:space="preserve">  </w:t>
      </w:r>
      <w:r w:rsidR="00D9573C" w:rsidRPr="00E51AEC">
        <w:rPr>
          <w:rFonts w:ascii="Times New Roman" w:hAnsi="Times New Roman" w:cs="Times New Roman"/>
          <w:lang w:val="kk-KZ"/>
        </w:rPr>
        <w:t xml:space="preserve"> </w:t>
      </w:r>
      <w:r w:rsidR="00E6335E" w:rsidRPr="00E51AEC">
        <w:rPr>
          <w:rFonts w:ascii="Times New Roman" w:hAnsi="Times New Roman" w:cs="Times New Roman"/>
          <w:lang w:val="kk-KZ"/>
        </w:rPr>
        <w:t>«</w:t>
      </w:r>
      <w:proofErr w:type="gramEnd"/>
      <w:r w:rsidR="00C013CD">
        <w:rPr>
          <w:rFonts w:ascii="Times New Roman" w:hAnsi="Times New Roman" w:cs="Times New Roman"/>
          <w:lang w:val="kk-KZ"/>
        </w:rPr>
        <w:t>19</w:t>
      </w:r>
      <w:r w:rsidR="00F31AF3" w:rsidRPr="00E51AEC">
        <w:rPr>
          <w:rFonts w:ascii="Times New Roman" w:hAnsi="Times New Roman" w:cs="Times New Roman"/>
        </w:rPr>
        <w:t xml:space="preserve">» </w:t>
      </w:r>
      <w:r w:rsidR="00B45540" w:rsidRPr="00966975">
        <w:rPr>
          <w:rFonts w:ascii="Times New Roman" w:hAnsi="Times New Roman" w:cs="Times New Roman"/>
        </w:rPr>
        <w:t xml:space="preserve">марта </w:t>
      </w:r>
      <w:r w:rsidR="00F31AF3" w:rsidRPr="00E51AEC">
        <w:rPr>
          <w:rFonts w:ascii="Times New Roman" w:hAnsi="Times New Roman" w:cs="Times New Roman"/>
        </w:rPr>
        <w:t xml:space="preserve"> 20</w:t>
      </w:r>
      <w:r w:rsidR="00E81DA4" w:rsidRPr="00E51AEC">
        <w:rPr>
          <w:rFonts w:ascii="Times New Roman" w:hAnsi="Times New Roman" w:cs="Times New Roman"/>
        </w:rPr>
        <w:t>2</w:t>
      </w:r>
      <w:r w:rsidR="00C8521C" w:rsidRPr="00E51AEC">
        <w:rPr>
          <w:rFonts w:ascii="Times New Roman" w:hAnsi="Times New Roman" w:cs="Times New Roman"/>
        </w:rPr>
        <w:t>4</w:t>
      </w:r>
      <w:r w:rsidR="00F31AF3" w:rsidRPr="00E51AEC">
        <w:rPr>
          <w:rFonts w:ascii="Times New Roman" w:hAnsi="Times New Roman" w:cs="Times New Roman"/>
        </w:rPr>
        <w:t xml:space="preserve"> года</w:t>
      </w:r>
    </w:p>
    <w:p w:rsidR="00E26774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E51AEC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  <w:lang w:val="kk-KZ"/>
        </w:rPr>
        <w:t xml:space="preserve"> </w:t>
      </w:r>
      <w:r w:rsidRPr="00E51AEC">
        <w:rPr>
          <w:rFonts w:ascii="Times New Roman" w:hAnsi="Times New Roman" w:cs="Times New Roman"/>
          <w:lang w:val="kk-KZ"/>
        </w:rPr>
        <w:tab/>
      </w:r>
      <w:r w:rsidR="00F054B2" w:rsidRPr="00E51AEC">
        <w:rPr>
          <w:rFonts w:ascii="Times New Roman" w:hAnsi="Times New Roman" w:cs="Times New Roman"/>
        </w:rPr>
        <w:t>Организатор</w:t>
      </w:r>
      <w:r w:rsidR="00E81DA4" w:rsidRPr="00E51AEC">
        <w:rPr>
          <w:rFonts w:ascii="Times New Roman" w:hAnsi="Times New Roman" w:cs="Times New Roman"/>
        </w:rPr>
        <w:t xml:space="preserve">/Заказчик закупок </w:t>
      </w:r>
      <w:r w:rsidR="00F054B2" w:rsidRPr="00E51AEC">
        <w:rPr>
          <w:rFonts w:ascii="Times New Roman" w:hAnsi="Times New Roman" w:cs="Times New Roman"/>
        </w:rPr>
        <w:t>провел закуп спосо</w:t>
      </w:r>
      <w:r w:rsidR="00DA6002" w:rsidRPr="00E51AEC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E51AEC">
        <w:rPr>
          <w:rFonts w:ascii="Times New Roman" w:hAnsi="Times New Roman" w:cs="Times New Roman"/>
        </w:rPr>
        <w:t xml:space="preserve">на </w:t>
      </w:r>
      <w:r w:rsidR="00DA6002" w:rsidRPr="00E51AEC">
        <w:rPr>
          <w:rFonts w:ascii="Times New Roman" w:hAnsi="Times New Roman" w:cs="Times New Roman"/>
        </w:rPr>
        <w:t>п</w:t>
      </w:r>
      <w:r w:rsidR="00F054B2" w:rsidRPr="00E51AEC">
        <w:rPr>
          <w:rFonts w:ascii="Times New Roman" w:hAnsi="Times New Roman" w:cs="Times New Roman"/>
        </w:rPr>
        <w:t xml:space="preserve">риобретение </w:t>
      </w:r>
      <w:r w:rsidR="00F61E5D">
        <w:rPr>
          <w:rFonts w:ascii="Times New Roman" w:hAnsi="Times New Roman" w:cs="Times New Roman"/>
        </w:rPr>
        <w:t>лекарственных средств</w:t>
      </w:r>
      <w:r w:rsidR="00C013CD">
        <w:rPr>
          <w:rFonts w:ascii="Times New Roman" w:hAnsi="Times New Roman" w:cs="Times New Roman"/>
        </w:rPr>
        <w:t xml:space="preserve"> и медицинских изделий</w:t>
      </w:r>
      <w:r w:rsidR="00966975">
        <w:rPr>
          <w:rFonts w:ascii="Times New Roman" w:hAnsi="Times New Roman" w:cs="Times New Roman"/>
        </w:rPr>
        <w:t xml:space="preserve"> на 2024 год</w:t>
      </w:r>
      <w:r w:rsidR="000C695E" w:rsidRPr="00E51AEC">
        <w:rPr>
          <w:rFonts w:ascii="Times New Roman" w:hAnsi="Times New Roman" w:cs="Times New Roman"/>
        </w:rPr>
        <w:t xml:space="preserve"> для</w:t>
      </w:r>
      <w:r w:rsidR="00F054B2" w:rsidRPr="00E51AEC">
        <w:rPr>
          <w:rFonts w:ascii="Times New Roman" w:hAnsi="Times New Roman" w:cs="Times New Roman"/>
        </w:rPr>
        <w:t xml:space="preserve"> Областно</w:t>
      </w:r>
      <w:r w:rsidR="000C695E" w:rsidRPr="00E51AEC">
        <w:rPr>
          <w:rFonts w:ascii="Times New Roman" w:hAnsi="Times New Roman" w:cs="Times New Roman"/>
        </w:rPr>
        <w:t>го</w:t>
      </w:r>
      <w:r w:rsidR="00F054B2" w:rsidRPr="00E51AEC">
        <w:rPr>
          <w:rFonts w:ascii="Times New Roman" w:hAnsi="Times New Roman" w:cs="Times New Roman"/>
        </w:rPr>
        <w:t xml:space="preserve"> перинатальн</w:t>
      </w:r>
      <w:r w:rsidR="000C695E" w:rsidRPr="00E51AEC">
        <w:rPr>
          <w:rFonts w:ascii="Times New Roman" w:hAnsi="Times New Roman" w:cs="Times New Roman"/>
        </w:rPr>
        <w:t>ого</w:t>
      </w:r>
      <w:r w:rsidR="00F054B2" w:rsidRPr="00E51AEC">
        <w:rPr>
          <w:rFonts w:ascii="Times New Roman" w:hAnsi="Times New Roman" w:cs="Times New Roman"/>
        </w:rPr>
        <w:t xml:space="preserve"> центр</w:t>
      </w:r>
      <w:r w:rsidR="000C695E" w:rsidRPr="00E51AEC">
        <w:rPr>
          <w:rFonts w:ascii="Times New Roman" w:hAnsi="Times New Roman" w:cs="Times New Roman"/>
        </w:rPr>
        <w:t>а</w:t>
      </w:r>
      <w:r w:rsidR="00F054B2" w:rsidRPr="00E51AEC">
        <w:rPr>
          <w:rFonts w:ascii="Times New Roman" w:hAnsi="Times New Roman" w:cs="Times New Roman"/>
        </w:rPr>
        <w:t>.</w:t>
      </w:r>
    </w:p>
    <w:p w:rsidR="00057A51" w:rsidRPr="00E51AEC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C013CD">
        <w:rPr>
          <w:rFonts w:ascii="Times New Roman" w:hAnsi="Times New Roman" w:cs="Times New Roman"/>
        </w:rPr>
        <w:t>19</w:t>
      </w:r>
      <w:r w:rsidRPr="00E51AEC">
        <w:rPr>
          <w:rFonts w:ascii="Times New Roman" w:hAnsi="Times New Roman" w:cs="Times New Roman"/>
        </w:rPr>
        <w:t>.</w:t>
      </w:r>
      <w:r w:rsidR="00EA15D3" w:rsidRPr="00E51AEC">
        <w:rPr>
          <w:rFonts w:ascii="Times New Roman" w:hAnsi="Times New Roman" w:cs="Times New Roman"/>
        </w:rPr>
        <w:t>0</w:t>
      </w:r>
      <w:r w:rsidR="00B45540">
        <w:rPr>
          <w:rFonts w:ascii="Times New Roman" w:hAnsi="Times New Roman" w:cs="Times New Roman"/>
        </w:rPr>
        <w:t>3</w:t>
      </w:r>
      <w:r w:rsidRPr="00E51AEC">
        <w:rPr>
          <w:rFonts w:ascii="Times New Roman" w:hAnsi="Times New Roman" w:cs="Times New Roman"/>
        </w:rPr>
        <w:t>.202</w:t>
      </w:r>
      <w:r w:rsidR="00C8521C" w:rsidRPr="00E51AEC">
        <w:rPr>
          <w:rFonts w:ascii="Times New Roman" w:hAnsi="Times New Roman" w:cs="Times New Roman"/>
        </w:rPr>
        <w:t>4</w:t>
      </w:r>
      <w:r w:rsidRPr="00E51AEC">
        <w:rPr>
          <w:rFonts w:ascii="Times New Roman" w:hAnsi="Times New Roman" w:cs="Times New Roman"/>
        </w:rPr>
        <w:t xml:space="preserve"> г. в 1</w:t>
      </w:r>
      <w:r w:rsidR="00C8521C" w:rsidRPr="00E51AEC">
        <w:rPr>
          <w:rFonts w:ascii="Times New Roman" w:hAnsi="Times New Roman" w:cs="Times New Roman"/>
        </w:rPr>
        <w:t>2</w:t>
      </w:r>
      <w:r w:rsidRPr="00E51AEC">
        <w:rPr>
          <w:rFonts w:ascii="Times New Roman" w:hAnsi="Times New Roman" w:cs="Times New Roman"/>
        </w:rPr>
        <w:t xml:space="preserve"> ч. 0</w:t>
      </w:r>
      <w:r w:rsidR="00C8521C" w:rsidRPr="00E51AEC">
        <w:rPr>
          <w:rFonts w:ascii="Times New Roman" w:hAnsi="Times New Roman" w:cs="Times New Roman"/>
        </w:rPr>
        <w:t>0</w:t>
      </w:r>
      <w:r w:rsidRPr="00E51AEC">
        <w:rPr>
          <w:rFonts w:ascii="Times New Roman" w:hAnsi="Times New Roman" w:cs="Times New Roman"/>
        </w:rPr>
        <w:t xml:space="preserve"> мин.</w:t>
      </w:r>
    </w:p>
    <w:p w:rsidR="00F054B2" w:rsidRPr="00A1606D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E51AEC">
        <w:rPr>
          <w:rFonts w:ascii="Times New Roman" w:hAnsi="Times New Roman" w:cs="Times New Roman"/>
        </w:rPr>
        <w:t>Сумма</w:t>
      </w:r>
      <w:proofErr w:type="gramEnd"/>
      <w:r w:rsidRPr="00E51AEC">
        <w:rPr>
          <w:rFonts w:ascii="Times New Roman" w:hAnsi="Times New Roman" w:cs="Times New Roman"/>
        </w:rPr>
        <w:t xml:space="preserve"> выделенная для закупки по лотам:</w:t>
      </w: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6662"/>
        <w:gridCol w:w="1526"/>
        <w:gridCol w:w="1168"/>
        <w:gridCol w:w="1148"/>
        <w:gridCol w:w="1446"/>
      </w:tblGrid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662" w:type="dxa"/>
            <w:shd w:val="clear" w:color="auto" w:fill="auto"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Ед.</w:t>
            </w:r>
          </w:p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Таблетки, покрытые оболочкой, 10 мг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4 600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20 516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C013CD">
              <w:rPr>
                <w:rFonts w:ascii="Times New Roman" w:hAnsi="Times New Roman"/>
              </w:rPr>
              <w:t>Гель глазной, 5%, 5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29 361,60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C013CD">
              <w:rPr>
                <w:rFonts w:ascii="Times New Roman" w:hAnsi="Times New Roman"/>
              </w:rPr>
              <w:t xml:space="preserve">Гель глазной, 5%, </w:t>
            </w:r>
            <w:r w:rsidRPr="00C013CD">
              <w:rPr>
                <w:rFonts w:ascii="Times New Roman" w:hAnsi="Times New Roman"/>
                <w:lang w:val="ru-RU"/>
              </w:rPr>
              <w:t>10</w:t>
            </w:r>
            <w:r w:rsidRPr="00C013CD">
              <w:rPr>
                <w:rFonts w:ascii="Times New Roman" w:hAnsi="Times New Roman"/>
              </w:rPr>
              <w:t xml:space="preserve"> гр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65 944,80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Транексамовая кислота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 w:rsidRPr="00C013CD">
              <w:rPr>
                <w:rFonts w:ascii="Times New Roman" w:hAnsi="Times New Roman"/>
                <w:lang w:val="ru-RU"/>
              </w:rPr>
              <w:t>Раствор для инъекций, 500мг/5мл, 5мл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770,0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1 540 000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Инфузионные и трансфузионные системы для дозирования, смешивания, переливания иния внутривенных инфузионных растворов. 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Трехканальная линия с положительно заряженным эндотоксинным фильтром микрочастиц 0,2 микрона)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Изделие предназначено для долгосрочной внутривенной инфузии в закрытой системе. Имеет два прозрачных каналa с разноцветными люэровскими соединениями и один канал желтого цвета. Для избегания перемешивания внутривенных растворов вмонтированы обратные клапаны. Все люэровские соединения имеют защитные колпачки. Материалы люэровских соединений поликарбонат (макролан) отмечаются особой устойчивостью к химическим средствам. Гайка люэровского соединение типа штекер, крутиться. Соединительные трубочки изготовлены из полюэритана, гибкие и эластичные, на внутренних стеночках, которых практически нет абсорбции инфузионных растворов. Коннектор оснащен с эндотоксинным фильтром. Микро IV. Фильтр 0,2μm (+) с патентированной „Supor-membrana®” против микрочастиц; положительно заряжен - гарантирует 96 часов резистенцию к эндотоксинам и грамм отрицательным бактериям; воздухозабор исключает попадание воздуха в кровообращение; Фильтр чувствительно реагирует на несовместимость инъекционных материалов (при наличии несовместимых инъекционных материалов фильтр закупорится). Через 0,2μm (+) фильтр возможна дача антибиотиков. Коннектор имеет 3 канала, два прозрачных и один светостойкий желтого цвета, обходящий основной фильтр. Все каналы соединены в один ход мини соединением. Канал желтого цвета с обратным контрольным клапаном короткого расстояния с люэровским замковым соединением типа гнездо, и </w:t>
            </w:r>
            <w:r w:rsidRPr="00C013CD">
              <w:rPr>
                <w:rFonts w:ascii="Times New Roman" w:hAnsi="Times New Roman"/>
              </w:rPr>
              <w:lastRenderedPageBreak/>
              <w:t>обходящий основной фильтр, предназначен для соединения с удлинительными линиями для инъекций липидов, лекарственных веществ, крови и компонентов. Изделие особенно удобно употреблять с гравитационным насосом, когда пациенту необходима  долгосрочная     инфузия с более чем 50 мл инфузионных растворов. Один из прозрачных каналов коннектора соединяется с любой капельницей. Оставшийся канал предназначен для дополнительных инъекций в закрытой системе. Нижняя светостойкая часть соединяется к катетеру или с одним из одноканальных коннекторов с зажимом или без зажима, или с дополнительным инъекционным портом.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8 216,0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410 800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Электроды ЭКГ детский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Электроды ЭКГ детский однократного применения в различных вариантах исполнения. Предназначены для краткосрочного/длительного мониторинга или диагностики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24 000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2 496 000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</w:rPr>
              <w:t xml:space="preserve">Система чрескожного дренирования </w:t>
            </w:r>
            <w:r w:rsidRPr="00C013CD">
              <w:rPr>
                <w:rFonts w:ascii="Times New Roman" w:hAnsi="Times New Roman"/>
                <w:lang w:val="ru-RU"/>
              </w:rPr>
              <w:t>(</w:t>
            </w: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Пункционный набор)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1. Длина катетера  CH 12: 160 мм                                                                    2. Длина катетера </w:t>
            </w:r>
            <w:r w:rsidRPr="00C013CD">
              <w:rPr>
                <w:rFonts w:ascii="Times New Roman" w:hAnsi="Times New Roman"/>
                <w:lang w:val="ru-RU"/>
              </w:rPr>
              <w:t>С</w:t>
            </w:r>
            <w:r w:rsidRPr="00C013CD">
              <w:rPr>
                <w:rFonts w:ascii="Times New Roman" w:hAnsi="Times New Roman"/>
              </w:rPr>
              <w:t>H 12: 160 мм  удлинительной линией: 500 мм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3. Катетер: 100% рентгеноконтрастный медицинский полиуретан</w:t>
            </w:r>
            <w:r w:rsidRPr="00C013CD">
              <w:rPr>
                <w:rFonts w:ascii="Times New Roman" w:hAnsi="Times New Roman"/>
              </w:rPr>
              <w:br/>
              <w:t xml:space="preserve">4. Игла Вереша- 300мм: нержавеющая сталь,  тупой наконечник раздвигается во время проникновение.                                                   5. Удлинительная линия Луер-Лок ПВХ 50см                                  6. Дренажный соединитель прямой Луер-Лок7-10 (5мм) CH24-32                                                                                  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7. Шприц Полипропилен Луер-Лок: 60мл.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8. Скальпель: ABS и нержавеющая сталь                           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 9. Зажим: нейлон + стекловолокно                                                       10. Фиксатор ПВХ </w:t>
            </w:r>
            <w:r w:rsidRPr="00C013CD">
              <w:rPr>
                <w:rFonts w:ascii="Times New Roman" w:hAnsi="Times New Roman"/>
              </w:rPr>
              <w:br/>
              <w:t xml:space="preserve">11. Крепежный комплект: синтетический каучук-2шт                             </w:t>
            </w:r>
          </w:p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12. Дренажный мешок объемом 2000 мл с клапаном для удаления воздуха и клапаном для опорожнения. </w:t>
            </w:r>
            <w:r w:rsidRPr="00C013CD">
              <w:rPr>
                <w:rFonts w:ascii="Times New Roman" w:hAnsi="Times New Roman"/>
              </w:rPr>
              <w:br/>
              <w:t xml:space="preserve">13. Стерилизация: Газ окиси этилена                                                  </w:t>
            </w:r>
            <w:r w:rsidRPr="00C013CD">
              <w:rPr>
                <w:rFonts w:ascii="Times New Roman" w:hAnsi="Times New Roman"/>
                <w:lang w:val="ru-RU"/>
              </w:rPr>
              <w:t>14.</w:t>
            </w:r>
            <w:r w:rsidRPr="00C013CD">
              <w:rPr>
                <w:rFonts w:ascii="Times New Roman" w:hAnsi="Times New Roman"/>
              </w:rPr>
              <w:t xml:space="preserve"> Срок годности:  5 лет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59 523,08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178 569,24</w:t>
            </w:r>
          </w:p>
        </w:tc>
      </w:tr>
      <w:tr w:rsidR="00C013CD" w:rsidRPr="00136C78" w:rsidTr="009A453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C013CD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 w:rsidRPr="00C013CD">
              <w:rPr>
                <w:rFonts w:ascii="Times New Roman" w:hAnsi="Times New Roman"/>
                <w:lang w:val="ru-RU"/>
              </w:rPr>
              <w:t>Азопирам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 w:rsidRPr="00C013CD">
              <w:rPr>
                <w:rFonts w:ascii="Times New Roman" w:hAnsi="Times New Roman"/>
                <w:lang w:val="ru-RU"/>
              </w:rPr>
              <w:t>Набор реактивов для предстерилизационного контроля (для лабораторных целей)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6 700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C013CD" w:rsidRPr="00C013CD" w:rsidRDefault="00C013CD" w:rsidP="00C013CD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80 400</w:t>
            </w:r>
          </w:p>
        </w:tc>
      </w:tr>
      <w:tr w:rsidR="00C013CD" w:rsidRPr="00136C78" w:rsidTr="009A453D">
        <w:trPr>
          <w:trHeight w:val="20"/>
        </w:trPr>
        <w:tc>
          <w:tcPr>
            <w:tcW w:w="10221" w:type="dxa"/>
            <w:gridSpan w:val="3"/>
            <w:shd w:val="clear" w:color="auto" w:fill="auto"/>
            <w:noWrap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C013CD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288" w:type="dxa"/>
            <w:gridSpan w:val="4"/>
            <w:shd w:val="clear" w:color="auto" w:fill="auto"/>
            <w:noWrap/>
          </w:tcPr>
          <w:p w:rsidR="00C013CD" w:rsidRPr="00C013CD" w:rsidRDefault="00C013CD" w:rsidP="00C013CD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D3C63" w:rsidRDefault="002D3C63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E51AEC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E51AEC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E51AEC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E51AEC" w:rsidTr="00F43E7B">
        <w:tc>
          <w:tcPr>
            <w:tcW w:w="562" w:type="dxa"/>
          </w:tcPr>
          <w:p w:rsidR="00351C1A" w:rsidRPr="00E51AEC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E51AEC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E51AEC" w:rsidRDefault="004A5E19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«</w:t>
            </w:r>
            <w:r w:rsidR="00F61E5D">
              <w:rPr>
                <w:rFonts w:ascii="Times New Roman" w:hAnsi="Times New Roman"/>
                <w:lang w:val="ru-RU"/>
              </w:rPr>
              <w:t>А</w:t>
            </w:r>
            <w:r w:rsidR="00C013CD">
              <w:rPr>
                <w:rFonts w:ascii="Times New Roman" w:hAnsi="Times New Roman"/>
                <w:lang w:val="ru-RU"/>
              </w:rPr>
              <w:t>гри-5</w:t>
            </w:r>
            <w:r w:rsidR="009A7C18"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E51AEC" w:rsidRDefault="007A2BAA" w:rsidP="007A2BA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  <w:r w:rsidR="00C8521C" w:rsidRPr="00E51AEC">
              <w:rPr>
                <w:rFonts w:ascii="Times New Roman" w:hAnsi="Times New Roman"/>
                <w:lang w:val="ru-RU"/>
              </w:rPr>
              <w:t>.</w:t>
            </w:r>
            <w:r w:rsidR="009A7C18" w:rsidRPr="00E51AEC">
              <w:rPr>
                <w:rFonts w:ascii="Times New Roman" w:hAnsi="Times New Roman"/>
                <w:lang w:val="ru-RU"/>
              </w:rPr>
              <w:t>0</w:t>
            </w:r>
            <w:r w:rsidR="00F61E5D">
              <w:rPr>
                <w:rFonts w:ascii="Times New Roman" w:hAnsi="Times New Roman"/>
                <w:lang w:val="ru-RU"/>
              </w:rPr>
              <w:t>3</w:t>
            </w:r>
            <w:r w:rsidR="009A7C18" w:rsidRPr="00E51AEC">
              <w:rPr>
                <w:rFonts w:ascii="Times New Roman" w:hAnsi="Times New Roman"/>
                <w:lang w:val="ru-RU"/>
              </w:rPr>
              <w:t>.202</w:t>
            </w:r>
            <w:r w:rsidR="00C8521C" w:rsidRPr="00E51AEC"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 xml:space="preserve"> г.  </w:t>
            </w:r>
            <w:r w:rsidR="00B45540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4</w:t>
            </w:r>
            <w:r w:rsidR="009A7C18" w:rsidRPr="00E51AEC">
              <w:rPr>
                <w:rFonts w:ascii="Times New Roman" w:hAnsi="Times New Roman"/>
                <w:lang w:val="ru-RU"/>
              </w:rPr>
              <w:t>ч</w:t>
            </w:r>
            <w:r w:rsidR="00C8521C" w:rsidRPr="00E51AEC">
              <w:rPr>
                <w:rFonts w:ascii="Times New Roman" w:hAnsi="Times New Roman"/>
                <w:lang w:val="ru-RU"/>
              </w:rPr>
              <w:t>ас</w:t>
            </w:r>
            <w:r>
              <w:rPr>
                <w:rFonts w:ascii="Times New Roman" w:hAnsi="Times New Roman"/>
                <w:lang w:val="ru-RU"/>
              </w:rPr>
              <w:t>58</w:t>
            </w:r>
            <w:r w:rsidR="009A7C18" w:rsidRPr="00E51AEC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7A2BAA" w:rsidRPr="00E51AEC" w:rsidTr="00F43E7B">
        <w:tc>
          <w:tcPr>
            <w:tcW w:w="562" w:type="dxa"/>
          </w:tcPr>
          <w:p w:rsidR="007A2BAA" w:rsidRPr="007A2BAA" w:rsidRDefault="007A2BA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7A2BAA" w:rsidRPr="00E51AEC" w:rsidRDefault="00ED16E9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ШФ </w:t>
            </w:r>
            <w:r w:rsidR="007A2BAA">
              <w:rPr>
                <w:rFonts w:ascii="Times New Roman" w:hAnsi="Times New Roman"/>
                <w:lang w:val="ru-RU"/>
              </w:rPr>
              <w:t>ТОО «Казахская фармацевтическая компания</w:t>
            </w:r>
            <w:r w:rsidR="00B118EC">
              <w:rPr>
                <w:rFonts w:ascii="Times New Roman" w:hAnsi="Times New Roman"/>
                <w:lang w:val="ru-RU"/>
              </w:rPr>
              <w:t xml:space="preserve"> «Медсервис Плюс»</w:t>
            </w:r>
          </w:p>
        </w:tc>
        <w:tc>
          <w:tcPr>
            <w:tcW w:w="4961" w:type="dxa"/>
          </w:tcPr>
          <w:p w:rsidR="007A2BAA" w:rsidRDefault="00B118EC" w:rsidP="007A2BA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14.03.2024 г.  10час55мин</w:t>
            </w:r>
          </w:p>
        </w:tc>
      </w:tr>
      <w:tr w:rsidR="00B118EC" w:rsidRPr="00E51AEC" w:rsidTr="00F43E7B">
        <w:tc>
          <w:tcPr>
            <w:tcW w:w="562" w:type="dxa"/>
          </w:tcPr>
          <w:p w:rsidR="00B118EC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B118EC" w:rsidRDefault="00B118EC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«НЕО ФАРМ»</w:t>
            </w:r>
          </w:p>
        </w:tc>
        <w:tc>
          <w:tcPr>
            <w:tcW w:w="4961" w:type="dxa"/>
          </w:tcPr>
          <w:p w:rsidR="00B118EC" w:rsidRDefault="00B118EC" w:rsidP="007A2BA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18.03.2024 г.   10час50мин</w:t>
            </w:r>
          </w:p>
        </w:tc>
      </w:tr>
      <w:tr w:rsidR="00B118EC" w:rsidRPr="00E51AEC" w:rsidTr="00F43E7B">
        <w:tc>
          <w:tcPr>
            <w:tcW w:w="562" w:type="dxa"/>
          </w:tcPr>
          <w:p w:rsidR="00B118EC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4</w:t>
            </w:r>
          </w:p>
        </w:tc>
        <w:tc>
          <w:tcPr>
            <w:tcW w:w="4253" w:type="dxa"/>
          </w:tcPr>
          <w:p w:rsidR="00B118EC" w:rsidRDefault="00B118EC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«Медикал глобал»</w:t>
            </w:r>
          </w:p>
        </w:tc>
        <w:tc>
          <w:tcPr>
            <w:tcW w:w="4961" w:type="dxa"/>
          </w:tcPr>
          <w:p w:rsidR="00B118EC" w:rsidRDefault="00B118EC" w:rsidP="007A2BA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18.03.2024 г.   12час16мин</w:t>
            </w:r>
          </w:p>
        </w:tc>
      </w:tr>
      <w:tr w:rsidR="00B118EC" w:rsidRPr="00E51AEC" w:rsidTr="00F43E7B">
        <w:tc>
          <w:tcPr>
            <w:tcW w:w="562" w:type="dxa"/>
          </w:tcPr>
          <w:p w:rsidR="00B118EC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B118EC" w:rsidRDefault="00B118EC" w:rsidP="00C013CD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4961" w:type="dxa"/>
          </w:tcPr>
          <w:p w:rsidR="00B118EC" w:rsidRDefault="00B118EC" w:rsidP="00B118E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18.03.2024 г.   12час40мин</w:t>
            </w:r>
          </w:p>
        </w:tc>
      </w:tr>
      <w:tr w:rsidR="00B118EC" w:rsidRPr="00E51AEC" w:rsidTr="00F43E7B">
        <w:tc>
          <w:tcPr>
            <w:tcW w:w="562" w:type="dxa"/>
          </w:tcPr>
          <w:p w:rsidR="00B118EC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253" w:type="dxa"/>
          </w:tcPr>
          <w:p w:rsidR="00B118EC" w:rsidRPr="00940293" w:rsidRDefault="00940293" w:rsidP="00940293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ТОО </w:t>
            </w:r>
            <w:r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en-US"/>
              </w:rPr>
              <w:t>KA</w:t>
            </w:r>
            <w:r>
              <w:rPr>
                <w:rFonts w:ascii="Times New Roman" w:hAnsi="Times New Roman"/>
                <w:lang w:val="ru-RU"/>
              </w:rPr>
              <w:t>З Мед Технолоджи»</w:t>
            </w:r>
          </w:p>
        </w:tc>
        <w:tc>
          <w:tcPr>
            <w:tcW w:w="4961" w:type="dxa"/>
          </w:tcPr>
          <w:p w:rsidR="00B118EC" w:rsidRDefault="00940293" w:rsidP="00B118EC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18.03.2024 г.   12час42мин</w:t>
            </w:r>
          </w:p>
        </w:tc>
      </w:tr>
    </w:tbl>
    <w:p w:rsidR="00EF08BE" w:rsidRPr="00E51AEC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Pr="00E51AEC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П</w:t>
      </w:r>
      <w:r w:rsidR="00351C1A" w:rsidRPr="00E51AEC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E51AEC">
        <w:rPr>
          <w:rFonts w:ascii="Times New Roman" w:hAnsi="Times New Roman" w:cs="Times New Roman"/>
        </w:rPr>
        <w:t xml:space="preserve">представили </w:t>
      </w:r>
      <w:r w:rsidRPr="00E51AEC">
        <w:rPr>
          <w:rFonts w:ascii="Times New Roman" w:hAnsi="Times New Roman" w:cs="Times New Roman"/>
        </w:rPr>
        <w:t xml:space="preserve"> ценовы</w:t>
      </w:r>
      <w:r w:rsidR="00351C1A" w:rsidRPr="00E51AEC">
        <w:rPr>
          <w:rFonts w:ascii="Times New Roman" w:hAnsi="Times New Roman" w:cs="Times New Roman"/>
        </w:rPr>
        <w:t>е</w:t>
      </w:r>
      <w:proofErr w:type="gramEnd"/>
      <w:r w:rsidRPr="00E51AEC">
        <w:rPr>
          <w:rFonts w:ascii="Times New Roman" w:hAnsi="Times New Roman" w:cs="Times New Roman"/>
        </w:rPr>
        <w:t xml:space="preserve"> предложени</w:t>
      </w:r>
      <w:r w:rsidR="00CC167F" w:rsidRPr="00E51AEC">
        <w:rPr>
          <w:rFonts w:ascii="Times New Roman" w:hAnsi="Times New Roman" w:cs="Times New Roman"/>
        </w:rPr>
        <w:t>я</w:t>
      </w:r>
      <w:r w:rsidR="00171438" w:rsidRPr="00E51AEC">
        <w:rPr>
          <w:rFonts w:ascii="Times New Roman" w:hAnsi="Times New Roman" w:cs="Times New Roman"/>
        </w:rPr>
        <w:t>.</w:t>
      </w:r>
    </w:p>
    <w:tbl>
      <w:tblPr>
        <w:tblStyle w:val="a5"/>
        <w:tblW w:w="1516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026"/>
        <w:gridCol w:w="1134"/>
        <w:gridCol w:w="851"/>
        <w:gridCol w:w="1276"/>
        <w:gridCol w:w="992"/>
        <w:gridCol w:w="1417"/>
        <w:gridCol w:w="1205"/>
        <w:gridCol w:w="1205"/>
        <w:gridCol w:w="1205"/>
        <w:gridCol w:w="1205"/>
      </w:tblGrid>
      <w:tr w:rsidR="00940293" w:rsidRPr="00E51AEC" w:rsidTr="00537C22">
        <w:tc>
          <w:tcPr>
            <w:tcW w:w="647" w:type="dxa"/>
          </w:tcPr>
          <w:p w:rsidR="00940293" w:rsidRPr="00E51AEC" w:rsidRDefault="0094029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026" w:type="dxa"/>
          </w:tcPr>
          <w:p w:rsidR="00940293" w:rsidRPr="00E51AEC" w:rsidRDefault="00537C22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940293" w:rsidRPr="00E51AEC" w:rsidRDefault="0094029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Ед.</w:t>
            </w:r>
          </w:p>
          <w:p w:rsidR="00940293" w:rsidRPr="00E51AEC" w:rsidRDefault="0094029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940293" w:rsidRPr="00E51AEC" w:rsidRDefault="00940293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940293" w:rsidRPr="00210FF2" w:rsidRDefault="00940293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eastAsia="ru-RU"/>
              </w:rPr>
              <w:t>Цена за единицу</w:t>
            </w:r>
            <w:r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992" w:type="dxa"/>
          </w:tcPr>
          <w:p w:rsidR="00940293" w:rsidRPr="002D3C63" w:rsidRDefault="00537C22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E51AEC"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ru-RU"/>
              </w:rPr>
              <w:t>Агри-5</w:t>
            </w:r>
            <w:r w:rsidRPr="00E51AEC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940293" w:rsidRPr="002D3C63" w:rsidRDefault="00ED16E9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ШФ </w:t>
            </w:r>
            <w:r w:rsidR="00537C22">
              <w:rPr>
                <w:rFonts w:ascii="Times New Roman" w:hAnsi="Times New Roman"/>
                <w:lang w:val="ru-RU"/>
              </w:rPr>
              <w:t>ТОО «Казахская фармацевтическая компания «Медсервис Плюс»</w:t>
            </w:r>
          </w:p>
        </w:tc>
        <w:tc>
          <w:tcPr>
            <w:tcW w:w="1205" w:type="dxa"/>
          </w:tcPr>
          <w:p w:rsidR="00940293" w:rsidRPr="002D3C63" w:rsidRDefault="00537C22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ТОО «НЕО ФАРМ»</w:t>
            </w:r>
          </w:p>
        </w:tc>
        <w:tc>
          <w:tcPr>
            <w:tcW w:w="1205" w:type="dxa"/>
          </w:tcPr>
          <w:p w:rsidR="00940293" w:rsidRPr="002D3C63" w:rsidRDefault="00537C22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ТОО «Медикал глобал»</w:t>
            </w:r>
          </w:p>
        </w:tc>
        <w:tc>
          <w:tcPr>
            <w:tcW w:w="1205" w:type="dxa"/>
          </w:tcPr>
          <w:p w:rsidR="00940293" w:rsidRPr="002D3C63" w:rsidRDefault="00537C22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  <w:tc>
          <w:tcPr>
            <w:tcW w:w="1205" w:type="dxa"/>
          </w:tcPr>
          <w:p w:rsidR="00940293" w:rsidRPr="002D3C63" w:rsidRDefault="00537C22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</w:rPr>
              <w:t xml:space="preserve">ТОО </w:t>
            </w:r>
            <w:r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en-US"/>
              </w:rPr>
              <w:t>KA</w:t>
            </w:r>
            <w:r>
              <w:rPr>
                <w:rFonts w:ascii="Times New Roman" w:hAnsi="Times New Roman"/>
                <w:lang w:val="ru-RU"/>
              </w:rPr>
              <w:t>З Мед Технолоджи»</w:t>
            </w:r>
          </w:p>
        </w:tc>
      </w:tr>
      <w:tr w:rsidR="00146D5B" w:rsidRPr="00E51AEC" w:rsidTr="00537C22">
        <w:tc>
          <w:tcPr>
            <w:tcW w:w="647" w:type="dxa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Нифедипин</w:t>
            </w:r>
          </w:p>
        </w:tc>
        <w:tc>
          <w:tcPr>
            <w:tcW w:w="1134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851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4 600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4,46</w:t>
            </w:r>
          </w:p>
        </w:tc>
        <w:tc>
          <w:tcPr>
            <w:tcW w:w="992" w:type="dxa"/>
            <w:vAlign w:val="center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46D5B" w:rsidRPr="00E51AEC" w:rsidTr="00537C22">
        <w:tc>
          <w:tcPr>
            <w:tcW w:w="647" w:type="dxa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134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851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1 468,08</w:t>
            </w:r>
          </w:p>
        </w:tc>
        <w:tc>
          <w:tcPr>
            <w:tcW w:w="992" w:type="dxa"/>
            <w:vAlign w:val="center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C013CD">
              <w:rPr>
                <w:rFonts w:ascii="Times New Roman" w:hAnsi="Times New Roman" w:cs="Times New Roman"/>
                <w:lang w:eastAsia="ru-RU"/>
              </w:rPr>
              <w:t>1 468,08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46D5B" w:rsidRPr="00E51AEC" w:rsidTr="00146D5B">
        <w:tc>
          <w:tcPr>
            <w:tcW w:w="647" w:type="dxa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1AE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Декспантенол</w:t>
            </w:r>
          </w:p>
        </w:tc>
        <w:tc>
          <w:tcPr>
            <w:tcW w:w="1134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туба</w:t>
            </w:r>
          </w:p>
        </w:tc>
        <w:tc>
          <w:tcPr>
            <w:tcW w:w="851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2 198,16</w:t>
            </w:r>
          </w:p>
        </w:tc>
        <w:tc>
          <w:tcPr>
            <w:tcW w:w="992" w:type="dxa"/>
            <w:vAlign w:val="center"/>
          </w:tcPr>
          <w:p w:rsidR="00146D5B" w:rsidRPr="00E51AEC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C013CD">
              <w:rPr>
                <w:rFonts w:ascii="Times New Roman" w:hAnsi="Times New Roman" w:cs="Times New Roman"/>
                <w:lang w:eastAsia="ru-RU"/>
              </w:rPr>
              <w:t>2 198,16</w:t>
            </w:r>
          </w:p>
        </w:tc>
        <w:tc>
          <w:tcPr>
            <w:tcW w:w="1417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46D5B" w:rsidRPr="00E51AEC" w:rsidTr="00537C22">
        <w:tc>
          <w:tcPr>
            <w:tcW w:w="647" w:type="dxa"/>
          </w:tcPr>
          <w:p w:rsidR="00146D5B" w:rsidRPr="00537C22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Транексамовая кислота</w:t>
            </w:r>
          </w:p>
        </w:tc>
        <w:tc>
          <w:tcPr>
            <w:tcW w:w="1134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851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2 000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770,0</w:t>
            </w:r>
          </w:p>
        </w:tc>
        <w:tc>
          <w:tcPr>
            <w:tcW w:w="992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46D5B" w:rsidRPr="00E51AEC" w:rsidTr="0095316D">
        <w:tc>
          <w:tcPr>
            <w:tcW w:w="64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 xml:space="preserve">Инфузионные и трансфузионные системы для дозирования, смешивания, переливания иния внутривенных инфузионных растворов. </w:t>
            </w:r>
          </w:p>
          <w:p w:rsidR="00146D5B" w:rsidRPr="00537C22" w:rsidRDefault="00146D5B" w:rsidP="00146D5B">
            <w:pPr>
              <w:pStyle w:val="a4"/>
              <w:rPr>
                <w:rFonts w:ascii="Times New Roman" w:hAnsi="Times New Roman"/>
              </w:rPr>
            </w:pPr>
            <w:r w:rsidRPr="00C013CD">
              <w:rPr>
                <w:rFonts w:ascii="Times New Roman" w:hAnsi="Times New Roman"/>
              </w:rPr>
              <w:t>Трехканальная линия с положительно заряженным эндотоксинным фи</w:t>
            </w:r>
            <w:r>
              <w:rPr>
                <w:rFonts w:ascii="Times New Roman" w:hAnsi="Times New Roman"/>
              </w:rPr>
              <w:t>льтром микрочастиц 0,2 микрона)</w:t>
            </w:r>
          </w:p>
        </w:tc>
        <w:tc>
          <w:tcPr>
            <w:tcW w:w="1134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8 216,0</w:t>
            </w:r>
          </w:p>
        </w:tc>
        <w:tc>
          <w:tcPr>
            <w:tcW w:w="992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8 216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146D5B" w:rsidRPr="00E51AEC" w:rsidTr="007F2F45">
        <w:tc>
          <w:tcPr>
            <w:tcW w:w="64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Электроды ЭКГ детский</w:t>
            </w:r>
          </w:p>
        </w:tc>
        <w:tc>
          <w:tcPr>
            <w:tcW w:w="1134" w:type="dxa"/>
            <w:vAlign w:val="center"/>
          </w:tcPr>
          <w:p w:rsidR="00146D5B" w:rsidRPr="00F61E5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46D5B" w:rsidRPr="00537C22" w:rsidRDefault="00146D5B" w:rsidP="00146D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24 000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992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146D5B" w:rsidRPr="00E51AEC" w:rsidTr="007F2F45">
        <w:trPr>
          <w:trHeight w:val="552"/>
        </w:trPr>
        <w:tc>
          <w:tcPr>
            <w:tcW w:w="647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26" w:type="dxa"/>
            <w:vAlign w:val="center"/>
          </w:tcPr>
          <w:p w:rsidR="00146D5B" w:rsidRPr="00C013CD" w:rsidRDefault="00146D5B" w:rsidP="00146D5B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C013CD">
              <w:rPr>
                <w:rFonts w:ascii="Times New Roman" w:hAnsi="Times New Roman"/>
              </w:rPr>
              <w:t xml:space="preserve">Система чрескожного дренирования </w:t>
            </w:r>
            <w:r w:rsidRPr="00C013CD">
              <w:rPr>
                <w:rFonts w:ascii="Times New Roman" w:hAnsi="Times New Roman"/>
                <w:lang w:val="ru-RU"/>
              </w:rPr>
              <w:t>(</w:t>
            </w:r>
            <w:r w:rsidRPr="00C013CD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Пункционный набор)</w:t>
            </w:r>
          </w:p>
        </w:tc>
        <w:tc>
          <w:tcPr>
            <w:tcW w:w="1134" w:type="dxa"/>
            <w:vAlign w:val="center"/>
          </w:tcPr>
          <w:p w:rsidR="00146D5B" w:rsidRPr="00537C22" w:rsidRDefault="00146D5B" w:rsidP="00146D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набор</w:t>
            </w:r>
          </w:p>
        </w:tc>
        <w:tc>
          <w:tcPr>
            <w:tcW w:w="851" w:type="dxa"/>
            <w:vAlign w:val="center"/>
          </w:tcPr>
          <w:p w:rsidR="00146D5B" w:rsidRPr="00537C22" w:rsidRDefault="00146D5B" w:rsidP="00146D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59 523,08</w:t>
            </w:r>
          </w:p>
        </w:tc>
        <w:tc>
          <w:tcPr>
            <w:tcW w:w="992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  <w:vAlign w:val="center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  <w:vAlign w:val="bottom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59 500</w:t>
            </w:r>
          </w:p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D5B" w:rsidRPr="00E51AEC" w:rsidTr="007F2F45">
        <w:tc>
          <w:tcPr>
            <w:tcW w:w="64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26" w:type="dxa"/>
            <w:vAlign w:val="center"/>
          </w:tcPr>
          <w:p w:rsidR="00146D5B" w:rsidRPr="00F61E5D" w:rsidRDefault="00146D5B" w:rsidP="00146D5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val="ru-RU"/>
              </w:rPr>
              <w:t>Азопирам</w:t>
            </w:r>
          </w:p>
        </w:tc>
        <w:tc>
          <w:tcPr>
            <w:tcW w:w="1134" w:type="dxa"/>
            <w:vAlign w:val="center"/>
          </w:tcPr>
          <w:p w:rsidR="00146D5B" w:rsidRPr="00537C22" w:rsidRDefault="00146D5B" w:rsidP="00146D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флакон</w:t>
            </w:r>
          </w:p>
        </w:tc>
        <w:tc>
          <w:tcPr>
            <w:tcW w:w="851" w:type="dxa"/>
            <w:vAlign w:val="center"/>
          </w:tcPr>
          <w:p w:rsidR="00146D5B" w:rsidRPr="00537C22" w:rsidRDefault="00146D5B" w:rsidP="00146D5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146D5B" w:rsidRPr="00C013CD" w:rsidRDefault="00146D5B" w:rsidP="00146D5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013CD">
              <w:rPr>
                <w:rFonts w:ascii="Times New Roman" w:hAnsi="Times New Roman"/>
                <w:lang w:eastAsia="ru-RU"/>
              </w:rPr>
              <w:t>6 700</w:t>
            </w:r>
          </w:p>
        </w:tc>
        <w:tc>
          <w:tcPr>
            <w:tcW w:w="992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17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6 700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6 695</w:t>
            </w:r>
          </w:p>
        </w:tc>
        <w:tc>
          <w:tcPr>
            <w:tcW w:w="1205" w:type="dxa"/>
          </w:tcPr>
          <w:p w:rsidR="00146D5B" w:rsidRDefault="00146D5B" w:rsidP="00146D5B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C63FB3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FE7DB0" w:rsidRPr="00E51AEC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При вскрытии конвертов </w:t>
      </w:r>
      <w:r w:rsidR="00096A7D" w:rsidRPr="00E51AEC">
        <w:rPr>
          <w:rFonts w:ascii="Times New Roman" w:hAnsi="Times New Roman" w:cs="Times New Roman"/>
        </w:rPr>
        <w:t xml:space="preserve">потенциальные поставщики либо их </w:t>
      </w:r>
      <w:r w:rsidRPr="00E51AEC">
        <w:rPr>
          <w:rFonts w:ascii="Times New Roman" w:hAnsi="Times New Roman" w:cs="Times New Roman"/>
        </w:rPr>
        <w:t>уполномоченны</w:t>
      </w:r>
      <w:r w:rsidR="00096A7D" w:rsidRPr="00E51AEC">
        <w:rPr>
          <w:rFonts w:ascii="Times New Roman" w:hAnsi="Times New Roman" w:cs="Times New Roman"/>
        </w:rPr>
        <w:t>е</w:t>
      </w:r>
      <w:r w:rsidRPr="00E51AEC">
        <w:rPr>
          <w:rFonts w:ascii="Times New Roman" w:hAnsi="Times New Roman" w:cs="Times New Roman"/>
        </w:rPr>
        <w:t xml:space="preserve"> представител</w:t>
      </w:r>
      <w:r w:rsidR="001107A3" w:rsidRPr="00E51AEC">
        <w:rPr>
          <w:rFonts w:ascii="Times New Roman" w:hAnsi="Times New Roman" w:cs="Times New Roman"/>
        </w:rPr>
        <w:t>и</w:t>
      </w:r>
      <w:r w:rsidR="007921D1" w:rsidRPr="00E51AEC">
        <w:rPr>
          <w:rFonts w:ascii="Times New Roman" w:hAnsi="Times New Roman" w:cs="Times New Roman"/>
        </w:rPr>
        <w:t xml:space="preserve"> отсутствовали.</w:t>
      </w:r>
      <w:r w:rsidR="001107A3" w:rsidRPr="00E51AEC">
        <w:rPr>
          <w:rFonts w:ascii="Times New Roman" w:hAnsi="Times New Roman" w:cs="Times New Roman"/>
        </w:rPr>
        <w:t xml:space="preserve"> </w:t>
      </w:r>
    </w:p>
    <w:p w:rsidR="00057A51" w:rsidRPr="00E51AEC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Лот</w:t>
      </w:r>
      <w:r w:rsidR="00ED16E9">
        <w:rPr>
          <w:rFonts w:ascii="Times New Roman" w:hAnsi="Times New Roman" w:cs="Times New Roman"/>
        </w:rPr>
        <w:t>ы</w:t>
      </w:r>
      <w:r w:rsidRPr="00995830">
        <w:rPr>
          <w:rFonts w:ascii="Times New Roman" w:hAnsi="Times New Roman" w:cs="Times New Roman"/>
        </w:rPr>
        <w:t xml:space="preserve"> № </w:t>
      </w:r>
      <w:r w:rsidR="005D0034" w:rsidRPr="00995830">
        <w:rPr>
          <w:rFonts w:ascii="Times New Roman" w:hAnsi="Times New Roman" w:cs="Times New Roman"/>
        </w:rPr>
        <w:t>1</w:t>
      </w:r>
      <w:r w:rsidR="00795473">
        <w:rPr>
          <w:rFonts w:ascii="Times New Roman" w:hAnsi="Times New Roman" w:cs="Times New Roman"/>
        </w:rPr>
        <w:t>, 2</w:t>
      </w:r>
      <w:r w:rsidR="00C369BA">
        <w:rPr>
          <w:rFonts w:ascii="Times New Roman" w:hAnsi="Times New Roman" w:cs="Times New Roman"/>
        </w:rPr>
        <w:t xml:space="preserve">, </w:t>
      </w:r>
      <w:proofErr w:type="gramStart"/>
      <w:r w:rsidR="00C369BA">
        <w:rPr>
          <w:rFonts w:ascii="Times New Roman" w:hAnsi="Times New Roman" w:cs="Times New Roman"/>
        </w:rPr>
        <w:t>3</w:t>
      </w:r>
      <w:r w:rsidR="00963AA1" w:rsidRPr="00995830">
        <w:rPr>
          <w:rFonts w:ascii="Times New Roman" w:hAnsi="Times New Roman" w:cs="Times New Roman"/>
        </w:rPr>
        <w:t xml:space="preserve"> </w:t>
      </w:r>
      <w:r w:rsidR="00E204F8" w:rsidRPr="00995830">
        <w:rPr>
          <w:rFonts w:ascii="Times New Roman" w:hAnsi="Times New Roman" w:cs="Times New Roman"/>
        </w:rPr>
        <w:t>:</w:t>
      </w:r>
      <w:proofErr w:type="gramEnd"/>
      <w:r w:rsidRPr="00995830">
        <w:rPr>
          <w:rFonts w:ascii="Times New Roman" w:hAnsi="Times New Roman" w:cs="Times New Roman"/>
        </w:rPr>
        <w:t xml:space="preserve"> </w:t>
      </w:r>
      <w:r w:rsidR="00487901" w:rsidRPr="00E51AEC">
        <w:rPr>
          <w:rFonts w:ascii="Times New Roman" w:hAnsi="Times New Roman"/>
        </w:rPr>
        <w:t>ТОО</w:t>
      </w:r>
      <w:r w:rsidR="00487901" w:rsidRPr="00995830">
        <w:rPr>
          <w:rFonts w:ascii="Times New Roman" w:hAnsi="Times New Roman"/>
        </w:rPr>
        <w:t xml:space="preserve"> </w:t>
      </w:r>
      <w:r w:rsidR="00963AA1" w:rsidRPr="00995830">
        <w:rPr>
          <w:rFonts w:ascii="Times New Roman" w:hAnsi="Times New Roman"/>
        </w:rPr>
        <w:t>«</w:t>
      </w:r>
      <w:r w:rsidR="00C369BA">
        <w:rPr>
          <w:rFonts w:ascii="Times New Roman" w:hAnsi="Times New Roman"/>
        </w:rPr>
        <w:t>Агри-5</w:t>
      </w:r>
      <w:r w:rsidR="00487901" w:rsidRPr="00995830">
        <w:rPr>
          <w:rFonts w:ascii="Times New Roman" w:hAnsi="Times New Roman"/>
        </w:rPr>
        <w:t>»</w:t>
      </w:r>
      <w:r w:rsidRPr="00995830">
        <w:rPr>
          <w:rFonts w:ascii="Times New Roman" w:hAnsi="Times New Roman" w:cs="Times New Roman"/>
        </w:rPr>
        <w:t xml:space="preserve"> (</w:t>
      </w:r>
      <w:r w:rsidRPr="00E51AEC">
        <w:rPr>
          <w:rFonts w:ascii="Times New Roman" w:hAnsi="Times New Roman" w:cs="Times New Roman"/>
        </w:rPr>
        <w:t>г</w:t>
      </w:r>
      <w:r w:rsidRPr="00995830">
        <w:rPr>
          <w:rFonts w:ascii="Times New Roman" w:hAnsi="Times New Roman" w:cs="Times New Roman"/>
        </w:rPr>
        <w:t>.</w:t>
      </w:r>
      <w:r w:rsidR="00C369BA">
        <w:rPr>
          <w:rFonts w:ascii="Times New Roman" w:hAnsi="Times New Roman" w:cs="Times New Roman"/>
        </w:rPr>
        <w:t xml:space="preserve"> </w:t>
      </w:r>
      <w:proofErr w:type="spellStart"/>
      <w:r w:rsidR="00C369BA">
        <w:rPr>
          <w:rFonts w:ascii="Times New Roman" w:hAnsi="Times New Roman" w:cs="Times New Roman"/>
        </w:rPr>
        <w:t>Кызылорда</w:t>
      </w:r>
      <w:proofErr w:type="spellEnd"/>
      <w:r w:rsidR="005B55D9" w:rsidRPr="00995830">
        <w:rPr>
          <w:rFonts w:ascii="Times New Roman" w:hAnsi="Times New Roman" w:cs="Times New Roman"/>
        </w:rPr>
        <w:t xml:space="preserve">, </w:t>
      </w:r>
      <w:r w:rsidR="00C369BA">
        <w:rPr>
          <w:rFonts w:ascii="Times New Roman" w:hAnsi="Times New Roman" w:cs="Times New Roman"/>
        </w:rPr>
        <w:t>пос</w:t>
      </w:r>
      <w:r w:rsidR="00795473">
        <w:rPr>
          <w:rFonts w:ascii="Times New Roman" w:hAnsi="Times New Roman" w:cs="Times New Roman"/>
        </w:rPr>
        <w:t>.</w:t>
      </w:r>
      <w:r w:rsidR="00995830" w:rsidRPr="00995830">
        <w:rPr>
          <w:rFonts w:ascii="Times New Roman" w:hAnsi="Times New Roman" w:cs="Times New Roman"/>
        </w:rPr>
        <w:t xml:space="preserve"> </w:t>
      </w:r>
      <w:proofErr w:type="spellStart"/>
      <w:r w:rsidR="00C369BA">
        <w:rPr>
          <w:rFonts w:ascii="Times New Roman" w:hAnsi="Times New Roman" w:cs="Times New Roman"/>
        </w:rPr>
        <w:t>Тасбугет</w:t>
      </w:r>
      <w:proofErr w:type="spellEnd"/>
      <w:r w:rsidR="00995830">
        <w:rPr>
          <w:rFonts w:ascii="Times New Roman" w:hAnsi="Times New Roman" w:cs="Times New Roman"/>
        </w:rPr>
        <w:t xml:space="preserve">, </w:t>
      </w:r>
      <w:r w:rsidR="00C369BA">
        <w:rPr>
          <w:rFonts w:ascii="Times New Roman" w:hAnsi="Times New Roman" w:cs="Times New Roman"/>
        </w:rPr>
        <w:t xml:space="preserve">ул. </w:t>
      </w:r>
      <w:proofErr w:type="spellStart"/>
      <w:r w:rsidR="00C369BA">
        <w:rPr>
          <w:rFonts w:ascii="Times New Roman" w:hAnsi="Times New Roman" w:cs="Times New Roman"/>
        </w:rPr>
        <w:t>Шукурова</w:t>
      </w:r>
      <w:proofErr w:type="spellEnd"/>
      <w:r w:rsidR="00795473">
        <w:rPr>
          <w:rFonts w:ascii="Times New Roman" w:hAnsi="Times New Roman" w:cs="Times New Roman"/>
        </w:rPr>
        <w:t xml:space="preserve">, </w:t>
      </w:r>
      <w:r w:rsidR="00C369BA">
        <w:rPr>
          <w:rFonts w:ascii="Times New Roman" w:hAnsi="Times New Roman" w:cs="Times New Roman"/>
        </w:rPr>
        <w:t>3</w:t>
      </w:r>
      <w:r w:rsidRPr="00995830">
        <w:rPr>
          <w:rFonts w:ascii="Times New Roman" w:hAnsi="Times New Roman" w:cs="Times New Roman"/>
        </w:rPr>
        <w:t xml:space="preserve">) – </w:t>
      </w:r>
      <w:r w:rsidR="00711460" w:rsidRPr="00C9519C">
        <w:rPr>
          <w:rFonts w:ascii="Times New Roman" w:hAnsi="Times New Roman" w:cs="Times New Roman"/>
          <w:lang w:val="kk-KZ"/>
        </w:rPr>
        <w:t xml:space="preserve"> </w:t>
      </w:r>
      <w:r w:rsidR="00795473">
        <w:rPr>
          <w:rFonts w:ascii="Times New Roman" w:hAnsi="Times New Roman" w:cs="Times New Roman"/>
        </w:rPr>
        <w:t>1</w:t>
      </w:r>
      <w:r w:rsidR="00ED16E9">
        <w:rPr>
          <w:rFonts w:ascii="Times New Roman" w:hAnsi="Times New Roman" w:cs="Times New Roman"/>
        </w:rPr>
        <w:t>15 822,40</w:t>
      </w:r>
      <w:r w:rsidRPr="00995830">
        <w:rPr>
          <w:rFonts w:ascii="Times New Roman" w:hAnsi="Times New Roman" w:cs="Times New Roman"/>
        </w:rPr>
        <w:t xml:space="preserve"> </w:t>
      </w:r>
      <w:r w:rsidRPr="00C9519C">
        <w:rPr>
          <w:rFonts w:ascii="Times New Roman" w:hAnsi="Times New Roman" w:cs="Times New Roman"/>
        </w:rPr>
        <w:t>тенге</w:t>
      </w:r>
      <w:r w:rsidR="00ED16E9">
        <w:rPr>
          <w:rFonts w:ascii="Times New Roman" w:hAnsi="Times New Roman" w:cs="Times New Roman"/>
        </w:rPr>
        <w:t>;</w:t>
      </w:r>
    </w:p>
    <w:p w:rsidR="00ED16E9" w:rsidRDefault="00ED16E9" w:rsidP="00ED16E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proofErr w:type="gramStart"/>
      <w:r>
        <w:rPr>
          <w:rFonts w:ascii="Times New Roman" w:hAnsi="Times New Roman" w:cs="Times New Roman"/>
        </w:rPr>
        <w:t>4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Шымкентский</w:t>
      </w:r>
      <w:proofErr w:type="spellEnd"/>
      <w:r>
        <w:rPr>
          <w:rFonts w:ascii="Times New Roman" w:hAnsi="Times New Roman" w:cs="Times New Roman"/>
        </w:rPr>
        <w:t xml:space="preserve"> филиал </w:t>
      </w:r>
      <w:r>
        <w:rPr>
          <w:rFonts w:ascii="Times New Roman" w:hAnsi="Times New Roman"/>
        </w:rPr>
        <w:t>ТОО «Казахская фармацевтическая компания «</w:t>
      </w:r>
      <w:proofErr w:type="spellStart"/>
      <w:r>
        <w:rPr>
          <w:rFonts w:ascii="Times New Roman" w:hAnsi="Times New Roman"/>
        </w:rPr>
        <w:t>Медсервис</w:t>
      </w:r>
      <w:proofErr w:type="spellEnd"/>
      <w:r>
        <w:rPr>
          <w:rFonts w:ascii="Times New Roman" w:hAnsi="Times New Roman"/>
        </w:rPr>
        <w:t xml:space="preserve"> Плюс»</w:t>
      </w:r>
      <w:r>
        <w:rPr>
          <w:rFonts w:ascii="Times New Roman" w:hAnsi="Times New Roman"/>
        </w:rPr>
        <w:t xml:space="preserve"> </w:t>
      </w:r>
      <w:r w:rsidRPr="00995830">
        <w:rPr>
          <w:rFonts w:ascii="Times New Roman" w:hAnsi="Times New Roman" w:cs="Times New Roman"/>
        </w:rPr>
        <w:t>(</w:t>
      </w:r>
      <w:r w:rsidRPr="00E51AEC">
        <w:rPr>
          <w:rFonts w:ascii="Times New Roman" w:hAnsi="Times New Roman" w:cs="Times New Roman"/>
        </w:rPr>
        <w:t>г</w:t>
      </w:r>
      <w:r w:rsidRPr="009958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Шымкент</w:t>
      </w:r>
      <w:r w:rsidRPr="00995830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Абайский</w:t>
      </w:r>
      <w:proofErr w:type="spellEnd"/>
      <w:r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трасса </w:t>
      </w:r>
      <w:proofErr w:type="spellStart"/>
      <w:r>
        <w:rPr>
          <w:rFonts w:ascii="Times New Roman" w:hAnsi="Times New Roman" w:cs="Times New Roman"/>
        </w:rPr>
        <w:t>Темирлановское</w:t>
      </w:r>
      <w:proofErr w:type="spellEnd"/>
      <w:r>
        <w:rPr>
          <w:rFonts w:ascii="Times New Roman" w:hAnsi="Times New Roman" w:cs="Times New Roman"/>
        </w:rPr>
        <w:t>, здание 236</w:t>
      </w:r>
      <w:r w:rsidRPr="00995830">
        <w:rPr>
          <w:rFonts w:ascii="Times New Roman" w:hAnsi="Times New Roman" w:cs="Times New Roman"/>
        </w:rPr>
        <w:t xml:space="preserve">) – </w:t>
      </w:r>
      <w:r w:rsidRPr="00C9519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1</w:t>
      </w:r>
      <w:r w:rsidR="00187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="001870D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 </w:t>
      </w:r>
      <w:r w:rsidR="001870DE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</w:t>
      </w:r>
      <w:r w:rsidRPr="00995830">
        <w:rPr>
          <w:rFonts w:ascii="Times New Roman" w:hAnsi="Times New Roman" w:cs="Times New Roman"/>
        </w:rPr>
        <w:t xml:space="preserve"> </w:t>
      </w:r>
      <w:r w:rsidRPr="00C9519C">
        <w:rPr>
          <w:rFonts w:ascii="Times New Roman" w:hAnsi="Times New Roman" w:cs="Times New Roman"/>
        </w:rPr>
        <w:t>тенге</w:t>
      </w:r>
      <w:r>
        <w:rPr>
          <w:rFonts w:ascii="Times New Roman" w:hAnsi="Times New Roman" w:cs="Times New Roman"/>
        </w:rPr>
        <w:t>;</w:t>
      </w:r>
    </w:p>
    <w:p w:rsidR="00ED16E9" w:rsidRDefault="001870DE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proofErr w:type="gramStart"/>
      <w:r>
        <w:rPr>
          <w:rFonts w:ascii="Times New Roman" w:hAnsi="Times New Roman" w:cs="Times New Roman"/>
        </w:rPr>
        <w:t>5 :</w:t>
      </w:r>
      <w:proofErr w:type="gramEnd"/>
      <w:r>
        <w:rPr>
          <w:rFonts w:ascii="Times New Roman" w:hAnsi="Times New Roman" w:cs="Times New Roman"/>
        </w:rPr>
        <w:t xml:space="preserve"> ТОО «НЕО ФАРМ» (</w:t>
      </w:r>
      <w:proofErr w:type="spellStart"/>
      <w:r w:rsidR="00956732">
        <w:rPr>
          <w:rFonts w:ascii="Times New Roman" w:hAnsi="Times New Roman" w:cs="Times New Roman"/>
        </w:rPr>
        <w:t>г.Алматы</w:t>
      </w:r>
      <w:proofErr w:type="spellEnd"/>
      <w:r w:rsidR="00956732">
        <w:rPr>
          <w:rFonts w:ascii="Times New Roman" w:hAnsi="Times New Roman" w:cs="Times New Roman"/>
        </w:rPr>
        <w:t xml:space="preserve">, </w:t>
      </w:r>
      <w:proofErr w:type="spellStart"/>
      <w:r w:rsidR="00956732">
        <w:rPr>
          <w:rFonts w:ascii="Times New Roman" w:hAnsi="Times New Roman" w:cs="Times New Roman"/>
        </w:rPr>
        <w:t>мкр</w:t>
      </w:r>
      <w:proofErr w:type="spellEnd"/>
      <w:r w:rsidR="00956732">
        <w:rPr>
          <w:rFonts w:ascii="Times New Roman" w:hAnsi="Times New Roman" w:cs="Times New Roman"/>
        </w:rPr>
        <w:t>-он Самал-1, д.1, н.п.121) – 410 800 тенге;</w:t>
      </w:r>
    </w:p>
    <w:p w:rsidR="00956732" w:rsidRDefault="00956732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Лоты № 6, </w:t>
      </w:r>
      <w:proofErr w:type="gramStart"/>
      <w:r>
        <w:rPr>
          <w:rFonts w:ascii="Times New Roman" w:hAnsi="Times New Roman" w:cs="Times New Roman"/>
        </w:rPr>
        <w:t>7 :</w:t>
      </w:r>
      <w:proofErr w:type="gramEnd"/>
      <w:r>
        <w:rPr>
          <w:rFonts w:ascii="Times New Roman" w:hAnsi="Times New Roman" w:cs="Times New Roman"/>
        </w:rPr>
        <w:t xml:space="preserve"> ТОО «КАЗ Мед Технолоджи» (</w:t>
      </w:r>
      <w:proofErr w:type="spellStart"/>
      <w:r>
        <w:rPr>
          <w:rFonts w:ascii="Times New Roman" w:hAnsi="Times New Roman" w:cs="Times New Roman"/>
        </w:rPr>
        <w:t>г.Алматы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Ауэзовский</w:t>
      </w:r>
      <w:proofErr w:type="spellEnd"/>
      <w:r>
        <w:rPr>
          <w:rFonts w:ascii="Times New Roman" w:hAnsi="Times New Roman" w:cs="Times New Roman"/>
        </w:rPr>
        <w:t xml:space="preserve"> район, мкр.10, дом 32) – 2 674 500 тенге:</w:t>
      </w:r>
    </w:p>
    <w:p w:rsidR="00956732" w:rsidRPr="00995830" w:rsidRDefault="00956732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</w:t>
      </w:r>
      <w:proofErr w:type="gramStart"/>
      <w:r>
        <w:rPr>
          <w:rFonts w:ascii="Times New Roman" w:hAnsi="Times New Roman" w:cs="Times New Roman"/>
        </w:rPr>
        <w:t>8 :</w:t>
      </w:r>
      <w:proofErr w:type="gramEnd"/>
      <w:r>
        <w:rPr>
          <w:rFonts w:ascii="Times New Roman" w:hAnsi="Times New Roman" w:cs="Times New Roman"/>
        </w:rPr>
        <w:t xml:space="preserve"> ТОО «Зари Тонус» (г. 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мкр.Арай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>
        <w:rPr>
          <w:rFonts w:ascii="Times New Roman" w:hAnsi="Times New Roman" w:cs="Times New Roman"/>
        </w:rPr>
        <w:t>Талап</w:t>
      </w:r>
      <w:proofErr w:type="spellEnd"/>
      <w:r>
        <w:rPr>
          <w:rFonts w:ascii="Times New Roman" w:hAnsi="Times New Roman" w:cs="Times New Roman"/>
        </w:rPr>
        <w:t xml:space="preserve">, 35) </w:t>
      </w:r>
      <w:r w:rsidR="00F017A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017AC">
        <w:rPr>
          <w:rFonts w:ascii="Times New Roman" w:hAnsi="Times New Roman" w:cs="Times New Roman"/>
        </w:rPr>
        <w:t>80 340 тенге.</w:t>
      </w:r>
      <w:r>
        <w:rPr>
          <w:rFonts w:ascii="Times New Roman" w:hAnsi="Times New Roman" w:cs="Times New Roman"/>
        </w:rPr>
        <w:t xml:space="preserve">  </w:t>
      </w:r>
    </w:p>
    <w:p w:rsidR="00795473" w:rsidRDefault="00795473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</w:p>
    <w:p w:rsidR="00F017AC" w:rsidRDefault="00F017AC" w:rsidP="00C9519C">
      <w:pPr>
        <w:pStyle w:val="a3"/>
        <w:spacing w:after="0"/>
        <w:ind w:left="851" w:right="-1"/>
        <w:rPr>
          <w:rFonts w:ascii="Times New Roman" w:hAnsi="Times New Roman"/>
        </w:rPr>
      </w:pPr>
      <w:bookmarkStart w:id="0" w:name="_GoBack"/>
      <w:bookmarkEnd w:id="0"/>
    </w:p>
    <w:p w:rsidR="00670AD0" w:rsidRPr="00E51AEC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>О</w:t>
      </w:r>
      <w:r w:rsidR="00F67621" w:rsidRPr="00E51AEC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E51AEC">
        <w:rPr>
          <w:rFonts w:ascii="Times New Roman" w:hAnsi="Times New Roman" w:cs="Times New Roman"/>
        </w:rPr>
        <w:t>ных нет.</w:t>
      </w:r>
    </w:p>
    <w:p w:rsidR="00620003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E51AEC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E51AEC">
        <w:rPr>
          <w:rFonts w:ascii="Times New Roman" w:hAnsi="Times New Roman" w:cs="Times New Roman"/>
        </w:rPr>
        <w:t>интернет-ресурс</w:t>
      </w:r>
      <w:proofErr w:type="spellEnd"/>
      <w:r w:rsidRPr="00E51AEC">
        <w:rPr>
          <w:rFonts w:ascii="Times New Roman" w:hAnsi="Times New Roman" w:cs="Times New Roman"/>
        </w:rPr>
        <w:t xml:space="preserve"> Заказчика.</w:t>
      </w:r>
    </w:p>
    <w:p w:rsidR="009E13A1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9E13A1" w:rsidRPr="00E51AEC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E51AEC" w:rsidRDefault="00EC72D6" w:rsidP="00EF03F0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583BA3" w:rsidTr="003975F8">
        <w:trPr>
          <w:trHeight w:val="704"/>
        </w:trPr>
        <w:tc>
          <w:tcPr>
            <w:tcW w:w="4294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  <w:r w:rsidRPr="003266A7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________________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266A7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3266A7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583BA3" w:rsidTr="003975F8">
        <w:trPr>
          <w:trHeight w:val="48"/>
        </w:trPr>
        <w:tc>
          <w:tcPr>
            <w:tcW w:w="4294" w:type="dxa"/>
            <w:vAlign w:val="bottom"/>
          </w:tcPr>
          <w:p w:rsidR="003266A7" w:rsidRPr="003266A7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266A7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266A7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C2298A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10FF2"/>
    <w:rsid w:val="0021153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30B5C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5830"/>
    <w:rsid w:val="009A10C1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1606D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40D3-9BE0-452F-BBAA-51A02617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5</cp:revision>
  <cp:lastPrinted>2024-02-17T07:05:00Z</cp:lastPrinted>
  <dcterms:created xsi:type="dcterms:W3CDTF">2024-03-11T05:25:00Z</dcterms:created>
  <dcterms:modified xsi:type="dcterms:W3CDTF">2024-03-20T08:38:00Z</dcterms:modified>
</cp:coreProperties>
</file>